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D3F" w:rsidRDefault="00240D3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2880"/>
        <w:gridCol w:w="1710"/>
        <w:gridCol w:w="2456"/>
      </w:tblGrid>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240D3F">
        <w:trPr>
          <w:trHeight w:val="732"/>
        </w:trPr>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M.R.B.</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880" w:type="dxa"/>
          </w:tcPr>
          <w:p w:rsidR="00240D3F" w:rsidRDefault="00571EAB" w:rsidP="00580F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9</w:t>
            </w:r>
            <w:r w:rsidR="00873C40">
              <w:rPr>
                <w:rFonts w:ascii="Arial" w:eastAsia="Arial" w:hAnsi="Arial" w:cs="Arial"/>
              </w:rPr>
              <w:t xml:space="preserve"> </w:t>
            </w:r>
            <w:r w:rsidR="00873C40">
              <w:rPr>
                <w:rFonts w:ascii="Arial" w:eastAsia="Arial" w:hAnsi="Arial" w:cs="Arial"/>
                <w:color w:val="000000"/>
              </w:rPr>
              <w:t xml:space="preserve">de </w:t>
            </w:r>
            <w:r w:rsidR="00580F79">
              <w:rPr>
                <w:rFonts w:ascii="Arial" w:eastAsia="Arial" w:hAnsi="Arial" w:cs="Arial"/>
                <w:color w:val="000000"/>
              </w:rPr>
              <w:t>septiembre</w:t>
            </w:r>
            <w:r w:rsidR="00873C40">
              <w:rPr>
                <w:rFonts w:ascii="Arial" w:eastAsia="Arial" w:hAnsi="Arial" w:cs="Arial"/>
                <w:color w:val="000000"/>
              </w:rPr>
              <w:t xml:space="preserve"> del 2021</w:t>
            </w:r>
          </w:p>
        </w:tc>
        <w:tc>
          <w:tcPr>
            <w:tcW w:w="1710"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456" w:type="dxa"/>
          </w:tcPr>
          <w:p w:rsidR="00240D3F" w:rsidRDefault="00571EA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7</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7046" w:type="dxa"/>
            <w:gridSpan w:val="3"/>
            <w:vAlign w:val="center"/>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Reducir los rasgos de trastorno de ansiedad generalizada en una mujer de 59 años de edad</w:t>
            </w:r>
          </w:p>
        </w:tc>
      </w:tr>
      <w:tr w:rsidR="00240D3F">
        <w:tc>
          <w:tcPr>
            <w:tcW w:w="9111" w:type="dxa"/>
            <w:gridSpan w:val="4"/>
            <w:shd w:val="clear" w:color="auto" w:fill="943734"/>
          </w:tcPr>
          <w:p w:rsidR="00240D3F" w:rsidRDefault="00240D3F">
            <w:pPr>
              <w:pBdr>
                <w:top w:val="nil"/>
                <w:left w:val="nil"/>
                <w:bottom w:val="nil"/>
                <w:right w:val="nil"/>
                <w:between w:val="nil"/>
              </w:pBdr>
              <w:spacing w:before="120" w:after="120"/>
              <w:rPr>
                <w:rFonts w:ascii="Arial" w:eastAsia="Arial" w:hAnsi="Arial" w:cs="Arial"/>
                <w:color w:val="000000"/>
              </w:rPr>
            </w:pP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7046" w:type="dxa"/>
            <w:gridSpan w:val="3"/>
          </w:tcPr>
          <w:p w:rsidR="00240D3F" w:rsidRDefault="00571EAB" w:rsidP="00571EAB">
            <w:pPr>
              <w:spacing w:after="100"/>
              <w:jc w:val="both"/>
              <w:rPr>
                <w:rFonts w:ascii="Arial" w:eastAsia="Arial" w:hAnsi="Arial" w:cs="Arial"/>
                <w:color w:val="000000"/>
              </w:rPr>
            </w:pPr>
            <w:r>
              <w:rPr>
                <w:rFonts w:ascii="Arial" w:eastAsia="Arial" w:hAnsi="Arial" w:cs="Arial"/>
                <w:color w:val="000000"/>
              </w:rPr>
              <w:t>Continuar educando</w:t>
            </w:r>
            <w:r w:rsidR="00FF780E">
              <w:rPr>
                <w:rFonts w:ascii="Arial" w:eastAsia="Arial" w:hAnsi="Arial" w:cs="Arial"/>
                <w:color w:val="000000"/>
              </w:rPr>
              <w:t xml:space="preserve"> a la paciente a eliminar los juicios de valor negativos sobre si misma a partir de acciones que le generan arrepentimiento. De ese modo, </w:t>
            </w:r>
            <w:r>
              <w:rPr>
                <w:rFonts w:ascii="Arial" w:eastAsia="Arial" w:hAnsi="Arial" w:cs="Arial"/>
                <w:color w:val="000000"/>
              </w:rPr>
              <w:t>finalizar la enseñanza</w:t>
            </w:r>
            <w:r w:rsidR="00FF780E">
              <w:rPr>
                <w:rFonts w:ascii="Arial" w:eastAsia="Arial" w:hAnsi="Arial" w:cs="Arial"/>
                <w:color w:val="000000"/>
              </w:rPr>
              <w:t xml:space="preserve"> </w:t>
            </w:r>
            <w:r>
              <w:rPr>
                <w:rFonts w:ascii="Arial" w:eastAsia="Arial" w:hAnsi="Arial" w:cs="Arial"/>
                <w:color w:val="000000"/>
              </w:rPr>
              <w:t>haci</w:t>
            </w:r>
            <w:r w:rsidR="00FF780E">
              <w:rPr>
                <w:rFonts w:ascii="Arial" w:eastAsia="Arial" w:hAnsi="Arial" w:cs="Arial"/>
                <w:color w:val="000000"/>
              </w:rPr>
              <w:t xml:space="preserve">a la referida </w:t>
            </w:r>
            <w:r>
              <w:rPr>
                <w:rFonts w:ascii="Arial" w:eastAsia="Arial" w:hAnsi="Arial" w:cs="Arial"/>
                <w:color w:val="000000"/>
              </w:rPr>
              <w:t>sobre</w:t>
            </w:r>
            <w:r w:rsidR="00FF780E">
              <w:rPr>
                <w:rFonts w:ascii="Arial" w:eastAsia="Arial" w:hAnsi="Arial" w:cs="Arial"/>
                <w:color w:val="000000"/>
              </w:rPr>
              <w:t xml:space="preserve"> evaluar sus acciones, más no a sí misma como un todo, con el fin de establecer los límites con ella misma por medio de la autocompasión. </w:t>
            </w:r>
            <w:r w:rsidR="0046168B">
              <w:rPr>
                <w:rFonts w:ascii="Arial" w:eastAsia="Arial" w:hAnsi="Arial" w:cs="Arial"/>
                <w:color w:val="000000"/>
              </w:rPr>
              <w:t xml:space="preserve"> </w:t>
            </w:r>
          </w:p>
        </w:tc>
      </w:tr>
      <w:tr w:rsidR="00240D3F">
        <w:tc>
          <w:tcPr>
            <w:tcW w:w="2065" w:type="dxa"/>
            <w:tcBorders>
              <w:bottom w:val="nil"/>
            </w:tcBorders>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7046" w:type="dxa"/>
            <w:gridSpan w:val="3"/>
            <w:vAlign w:val="center"/>
          </w:tcPr>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en la sala virtual y se realizarán los saludos necesarios. Posteriormente, el terapeuta motivará a la misma a realizar un breve resumen de su semana como medio introductorio a la sesión presente. Adicionalmente, se analizará el estado de ánimo de la referida por medio de una breve conversación coloquial.</w:t>
            </w:r>
          </w:p>
          <w:p w:rsidR="00D71022"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dedicará el tiempo restante para </w:t>
            </w:r>
            <w:r w:rsidR="00B4601D">
              <w:rPr>
                <w:rFonts w:ascii="Arial" w:eastAsia="Arial" w:hAnsi="Arial" w:cs="Arial"/>
                <w:color w:val="000000"/>
              </w:rPr>
              <w:t xml:space="preserve">continuar </w:t>
            </w:r>
            <w:r w:rsidR="00460856">
              <w:rPr>
                <w:rFonts w:ascii="Arial" w:eastAsia="Arial" w:hAnsi="Arial" w:cs="Arial"/>
                <w:color w:val="000000"/>
              </w:rPr>
              <w:t>psicoed</w:t>
            </w:r>
            <w:r w:rsidR="00B4601D">
              <w:rPr>
                <w:rFonts w:ascii="Arial" w:eastAsia="Arial" w:hAnsi="Arial" w:cs="Arial"/>
                <w:color w:val="000000"/>
              </w:rPr>
              <w:t>ucando</w:t>
            </w:r>
            <w:bookmarkStart w:id="0" w:name="_GoBack"/>
            <w:bookmarkEnd w:id="0"/>
            <w:r w:rsidR="00460856">
              <w:rPr>
                <w:rFonts w:ascii="Arial" w:eastAsia="Arial" w:hAnsi="Arial" w:cs="Arial"/>
                <w:color w:val="000000"/>
              </w:rPr>
              <w:t xml:space="preserve"> a la paciente en la importancia de evaluar las acciones, más no juzgarse a ella como un todo por las mismas</w:t>
            </w:r>
            <w:r w:rsidR="00937269">
              <w:rPr>
                <w:rFonts w:ascii="Arial" w:eastAsia="Arial" w:hAnsi="Arial" w:cs="Arial"/>
                <w:color w:val="000000"/>
              </w:rPr>
              <w:t xml:space="preserve">. De ese modo, en línea con la autocompasión, se le educa a la paciente en que, ante los conflictos y errores hay una forma de actuar que establece límites que protegen su salud mental. Verse a sí misma como menos por una debilidad o falla o como superior por las </w:t>
            </w:r>
            <w:r w:rsidR="00937269">
              <w:rPr>
                <w:rFonts w:ascii="Arial" w:eastAsia="Arial" w:hAnsi="Arial" w:cs="Arial"/>
                <w:color w:val="000000"/>
              </w:rPr>
              <w:lastRenderedPageBreak/>
              <w:t xml:space="preserve">fortalezas propias no es una forma asertiva de actuar con uno mismo ni con el ambiente. De ese modo, se educa en que una persona no es mala cuando comete una acción deplorable, sino que solo es una persona que hizo un acto malo. Así, se trabaja sobre mejorar los aspectos sin culparse o condenarse a uno mismo. Así, se identifican las áreas de mejora sin tener que definirse a sí mismo por ellas. </w:t>
            </w:r>
          </w:p>
          <w:p w:rsidR="00240D3F" w:rsidRDefault="0046168B" w:rsidP="00937269">
            <w:pPr>
              <w:pBdr>
                <w:top w:val="nil"/>
                <w:left w:val="nil"/>
                <w:bottom w:val="nil"/>
                <w:right w:val="nil"/>
                <w:between w:val="nil"/>
              </w:pBdr>
              <w:spacing w:after="100"/>
              <w:ind w:left="360"/>
              <w:jc w:val="both"/>
              <w:rPr>
                <w:rFonts w:ascii="Arial" w:eastAsia="Arial" w:hAnsi="Arial" w:cs="Arial"/>
                <w:color w:val="000000"/>
              </w:rPr>
            </w:pPr>
            <w:r>
              <w:rPr>
                <w:rFonts w:ascii="Arial" w:eastAsia="Arial" w:hAnsi="Arial" w:cs="Arial"/>
                <w:color w:val="000000"/>
              </w:rPr>
              <w:t xml:space="preserve">También se </w:t>
            </w:r>
            <w:r w:rsidR="00937269">
              <w:rPr>
                <w:rFonts w:ascii="Arial" w:eastAsia="Arial" w:hAnsi="Arial" w:cs="Arial"/>
                <w:color w:val="000000"/>
              </w:rPr>
              <w:t>realizará un ejercicio (que también se dejará de plan paralelo) en el cual se le pedirá a la paciente que escriba cinco actos de los que se arrepiente a la fecha. Luego, se le preguntará que piensa de ella misma en función de estos actos, para luego educarla en que debe transferir este sentir negativo a los actos únicamente y no a toda ella como persona</w:t>
            </w:r>
            <w:r>
              <w:rPr>
                <w:rFonts w:ascii="Arial" w:eastAsia="Arial" w:hAnsi="Arial" w:cs="Arial"/>
                <w:color w:val="000000"/>
              </w:rPr>
              <w:t>.</w:t>
            </w:r>
          </w:p>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y se resolverá cualquier duda que la paciente tenga sobre la sesión o del proceso terapéutico en general. </w:t>
            </w:r>
          </w:p>
          <w:p w:rsidR="00240D3F" w:rsidRDefault="00873C40">
            <w:pPr>
              <w:numPr>
                <w:ilvl w:val="0"/>
                <w:numId w:val="2"/>
              </w:numPr>
              <w:spacing w:after="10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volver a su última sesión y que no olvidé la puntualidad de la misma. Una vez realizado, ambos se despedirán cordialmente y se dará por acabada la sesión.</w:t>
            </w:r>
          </w:p>
        </w:tc>
        <w:tc>
          <w:tcPr>
            <w:tcW w:w="2456" w:type="dxa"/>
            <w:vAlign w:val="center"/>
          </w:tcPr>
          <w:p w:rsidR="00240D3F" w:rsidRDefault="00873C40">
            <w:pPr>
              <w:numPr>
                <w:ilvl w:val="0"/>
                <w:numId w:val="3"/>
              </w:numPr>
              <w:spacing w:after="100"/>
              <w:ind w:left="360"/>
              <w:jc w:val="both"/>
              <w:rPr>
                <w:rFonts w:ascii="Arial" w:eastAsia="Arial" w:hAnsi="Arial" w:cs="Arial"/>
              </w:rPr>
            </w:pPr>
            <w:r>
              <w:rPr>
                <w:rFonts w:ascii="Arial" w:eastAsia="Arial" w:hAnsi="Arial" w:cs="Arial"/>
              </w:rPr>
              <w:lastRenderedPageBreak/>
              <w:t>Lapicero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Hojas en blanco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 xml:space="preserve">Plataforma </w:t>
            </w:r>
            <w:r>
              <w:rPr>
                <w:rFonts w:ascii="Arial" w:eastAsia="Arial" w:hAnsi="Arial" w:cs="Arial"/>
                <w:i/>
              </w:rPr>
              <w:t>Zoom</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460856" w:rsidP="00460856">
            <w:pPr>
              <w:spacing w:after="100"/>
              <w:jc w:val="both"/>
              <w:rPr>
                <w:rFonts w:ascii="Arial" w:eastAsia="Arial" w:hAnsi="Arial" w:cs="Arial"/>
              </w:rPr>
            </w:pPr>
            <w:r>
              <w:rPr>
                <w:rFonts w:ascii="Arial" w:eastAsia="Arial" w:hAnsi="Arial" w:cs="Arial"/>
                <w:b/>
              </w:rPr>
              <w:t>Evaluación de la conducta</w:t>
            </w:r>
            <w:r w:rsidR="00873C40">
              <w:rPr>
                <w:rFonts w:ascii="Arial" w:eastAsia="Arial" w:hAnsi="Arial" w:cs="Arial"/>
              </w:rPr>
              <w:t>: Se le asignará a la paciente</w:t>
            </w:r>
            <w:r>
              <w:rPr>
                <w:rFonts w:ascii="Arial" w:eastAsia="Arial" w:hAnsi="Arial" w:cs="Arial"/>
              </w:rPr>
              <w:t xml:space="preserve"> una tabla en la cual debe registrar de forma cotidiana un error o arrepentimiento de su día. Posteriormente debe anotar la evaluación que ha hecho sobre sí misma, para posteriormente evaluar la acción, más no a su persona. </w:t>
            </w:r>
          </w:p>
        </w:tc>
        <w:tc>
          <w:tcPr>
            <w:tcW w:w="2456" w:type="dxa"/>
            <w:vAlign w:val="center"/>
          </w:tcPr>
          <w:p w:rsidR="00240D3F" w:rsidRDefault="00873C40">
            <w:pPr>
              <w:numPr>
                <w:ilvl w:val="0"/>
                <w:numId w:val="3"/>
              </w:numPr>
              <w:pBdr>
                <w:top w:val="nil"/>
                <w:left w:val="nil"/>
                <w:bottom w:val="nil"/>
                <w:right w:val="nil"/>
                <w:between w:val="nil"/>
              </w:pBdr>
              <w:spacing w:before="120" w:after="120"/>
              <w:ind w:left="360"/>
              <w:jc w:val="both"/>
            </w:pPr>
            <w:r>
              <w:rPr>
                <w:rFonts w:ascii="Arial" w:eastAsia="Arial" w:hAnsi="Arial" w:cs="Arial"/>
                <w:color w:val="000000"/>
              </w:rPr>
              <w:t>Hojas en blanco o cuaderno</w:t>
            </w:r>
          </w:p>
          <w:p w:rsidR="00240D3F" w:rsidRDefault="00460856">
            <w:pPr>
              <w:numPr>
                <w:ilvl w:val="0"/>
                <w:numId w:val="3"/>
              </w:numPr>
              <w:pBdr>
                <w:top w:val="nil"/>
                <w:left w:val="nil"/>
                <w:bottom w:val="nil"/>
                <w:right w:val="nil"/>
                <w:between w:val="nil"/>
              </w:pBdr>
              <w:spacing w:before="120" w:after="120"/>
              <w:ind w:left="360"/>
              <w:jc w:val="both"/>
            </w:pPr>
            <w:r>
              <w:rPr>
                <w:rFonts w:ascii="Arial" w:eastAsia="Arial" w:hAnsi="Arial" w:cs="Arial"/>
                <w:color w:val="000000"/>
              </w:rPr>
              <w:t>Tabla de la evaluación de la conducta</w:t>
            </w:r>
          </w:p>
        </w:tc>
      </w:tr>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240D3F">
        <w:tc>
          <w:tcPr>
            <w:tcW w:w="9111" w:type="dxa"/>
            <w:gridSpan w:val="4"/>
            <w:vAlign w:val="center"/>
          </w:tcPr>
          <w:p w:rsidR="00240D3F" w:rsidRDefault="00873C40">
            <w:pPr>
              <w:pBdr>
                <w:top w:val="nil"/>
                <w:left w:val="nil"/>
                <w:bottom w:val="nil"/>
                <w:right w:val="nil"/>
                <w:between w:val="nil"/>
              </w:pBdr>
              <w:spacing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Aspecto general y conducta</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Características del lenguaje</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Estado de ánimo y afecto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Contenido del pensamiento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Funciones del sensorio</w:t>
            </w:r>
          </w:p>
          <w:p w:rsidR="00240D3F" w:rsidRDefault="00873C40">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Autocognición y juicio</w:t>
            </w:r>
          </w:p>
        </w:tc>
      </w:tr>
    </w:tbl>
    <w:p w:rsidR="00240D3F" w:rsidRDefault="00240D3F"/>
    <w:sectPr w:rsidR="00240D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6EA" w:rsidRDefault="007836EA">
      <w:pPr>
        <w:spacing w:after="0" w:line="240" w:lineRule="auto"/>
      </w:pPr>
      <w:r>
        <w:separator/>
      </w:r>
    </w:p>
  </w:endnote>
  <w:endnote w:type="continuationSeparator" w:id="0">
    <w:p w:rsidR="007836EA" w:rsidRDefault="00783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6EA" w:rsidRDefault="007836EA">
      <w:pPr>
        <w:spacing w:after="0" w:line="240" w:lineRule="auto"/>
      </w:pPr>
      <w:r>
        <w:separator/>
      </w:r>
    </w:p>
  </w:footnote>
  <w:footnote w:type="continuationSeparator" w:id="0">
    <w:p w:rsidR="007836EA" w:rsidRDefault="007836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3F" w:rsidRDefault="00873C4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DB7DBE"/>
    <w:multiLevelType w:val="multilevel"/>
    <w:tmpl w:val="5A00180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552D5E6B"/>
    <w:multiLevelType w:val="multilevel"/>
    <w:tmpl w:val="FB104894"/>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D3F"/>
    <w:rsid w:val="000022E0"/>
    <w:rsid w:val="00240D3F"/>
    <w:rsid w:val="00460856"/>
    <w:rsid w:val="0046168B"/>
    <w:rsid w:val="00571EAB"/>
    <w:rsid w:val="00580F79"/>
    <w:rsid w:val="00771907"/>
    <w:rsid w:val="007836EA"/>
    <w:rsid w:val="00873C40"/>
    <w:rsid w:val="00937269"/>
    <w:rsid w:val="00B4601D"/>
    <w:rsid w:val="00D71022"/>
    <w:rsid w:val="00EC6A46"/>
    <w:rsid w:val="00FF7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B612E"/>
  <w15:docId w15:val="{570B586E-B11A-4C91-AF37-7CE2F104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rsid w:val="00EE6139"/>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t7Up/KjUTTexVPz8i3mb5glY1A==">AMUW2mW9IGe7mqoHlmCr7cStG0enyfFrCUnuJUphbDBbBg19ynwOqsqPDbPhnddgnKothv0FA+7R8q8rEN7yIHb03DqbnUtYmZLuaBzOa+N3cBC9A9rzSgEc/jQ008ng1P4TtwDNnih0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595</Words>
  <Characters>3433</Characters>
  <Application>Microsoft Office Word</Application>
  <DocSecurity>0</DocSecurity>
  <Lines>45</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2021-09-06T21:55:00Z</dcterms:created>
  <dcterms:modified xsi:type="dcterms:W3CDTF">2021-09-06T21:59:00Z</dcterms:modified>
</cp:coreProperties>
</file>