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Ríos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habilidades adaptativas de la paciente mediante un screening de actividades para conocer sus fortalezas y debilidades.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presentación la paciente, para poder conocernos y que se de la primera interacción para crear un vínculo.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Screening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aplicará una actividad para la denominación de los objetos en la vida cotidiana. Respondiendo a las preguntas: ¿Cómo se llama? ¿Cómo se usa? ¿Para qué sirve? 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seguirá con la actividad de las bolitas de papel de china.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Imágenes de los objetos 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Bolitas de papel de china 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Goma 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con dibujo 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platicará con la madre sobre el plan paralelo de esta semana y se resolverán las dudas sobre él. Se confirmará la fecha y hora de la próxima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plan paralelo consta de seguir patrones con figuras geométricas de colores.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Plantillas de los patrones 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Figuras geométricas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las fortalezas y áreas de oportunidad de la paciente, para poder determinar el plan de intervención.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-803906</wp:posOffset>
          </wp:positionH>
          <wp:positionV relativeFrom="paragraph">
            <wp:posOffset>-316861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DefaultParagraphFont"/>
    <w:link w:val="EstiloPS"/>
    <w:rsid w:val="003A65A0"/>
    <w:rPr>
      <w:rFonts w:ascii="Arial" w:hAnsi="Arial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5C33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c/eyr1uWvxkKVhVuhqmJMsfDXQ==">AMUW2mWczCQkedMtGvrSGSzeZjEGyNbfRb7pF/AtGNmnhDHBeinnqlTSBz1N5ySiq+idsYVGau+GI6QAEQfzhTty7pxgnCytEe/rOf/3JHD85TtUH59WfSI=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