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docProps/custom.xml" Type="http://schemas.openxmlformats.org/officeDocument/2006/relationships/custom-properties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445"/>
        <w:gridCol w:w="1485"/>
        <w:gridCol w:w="320"/>
        <w:gridCol w:w="1887"/>
        <w:tblGridChange w:id="0">
          <w:tblGrid>
            <w:gridCol w:w="2689"/>
            <w:gridCol w:w="2445"/>
            <w:gridCol w:w="1485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6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Sergio Santos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A. 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/septiembre/2021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actual de un adolescente de 13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6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Por medio de la entrevista psicológica a los padres conocer el motivo de consulta, tener la perspectiva de los padres al afrontar el motivo de consulta. 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Perfil de los padres: comenzar a trabajar el rapport. Indagar sobre las ideas que tienen los padres sobre el problema actual también el paciente referente a las Clínicas UNIS.</w:t>
            </w:r>
          </w:p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Área familiar: indagar el entorno del paciente, modificaciones recientes o relevantes, al igual que conocer las relaciones y vínculos cercanos.</w:t>
            </w:r>
          </w:p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Perfil personal: indagar en la personalidad del paciente y sus cambios desde el inicio del problema.</w:t>
            </w:r>
          </w:p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Área social: conocer el círculo social del paciente e indagar en sus habilidades sociales.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6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634" w:val="clear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Saludo (5 min.): esperar a que se conecten a la plataforma </w:t>
            </w:r>
            <w:r w:rsidDel="00000000" w:rsidR="00000000" w:rsidRPr="00000000">
              <w:rPr>
                <w:i w:val="1"/>
                <w:rtl w:val="0"/>
              </w:rPr>
              <w:t xml:space="preserve">OliviaHealth</w:t>
            </w:r>
            <w:r w:rsidDel="00000000" w:rsidR="00000000" w:rsidRPr="00000000">
              <w:rPr>
                <w:rtl w:val="0"/>
              </w:rPr>
              <w:t xml:space="preserve">, luego realizar la presentación de terapeuta, brindar información de contacto (correo electrónico).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Desarrollo de la sesión (35 min.): indagar por medio de la entrevista psicológica, la perspectiva de los padres sobre el motivo de consulta y también de la historia del problema actual. Al igual, que conocer la postura que han tomado en las últimas semanas. </w:t>
            </w:r>
          </w:p>
          <w:p w:rsidR="00000000" w:rsidDel="00000000" w:rsidP="00000000" w:rsidRDefault="00000000" w:rsidRPr="00000000" w14:paraId="00000034">
            <w:pPr>
              <w:spacing w:after="120" w:before="12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Conocer qué piensan del proceso psicológico y explicar la estructura del trabajo terapéutico. Profundizando en las aportaciones que son necesarias (como el trabajo en equipo, confidencialidad y espacio para la sesión).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Cierre (10 min.): se agradecerá la cooperación y se explicará lo que podremos ir haciendo durante las sesiones.</w:t>
            </w:r>
          </w:p>
          <w:p w:rsidR="00000000" w:rsidDel="00000000" w:rsidP="00000000" w:rsidRDefault="00000000" w:rsidRPr="00000000" w14:paraId="00000036">
            <w:pPr>
              <w:spacing w:after="120" w:before="12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solicitarán los documentos que tiene que enviar en el transcurso de la semana para el expediente.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Despedida (5 min.): se despedirá a los padres y se también se recordará que se espera trabajar con el paciente la siguiente semana en el mismo horario.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Formato de entrevista a padres de familia.</w:t>
            </w:r>
          </w:p>
          <w:p w:rsidR="00000000" w:rsidDel="00000000" w:rsidP="00000000" w:rsidRDefault="00000000" w:rsidRPr="00000000" w14:paraId="0000003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Estado del examen mental.</w:t>
            </w:r>
          </w:p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en blanco.</w:t>
            </w:r>
          </w:p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Lapicero.</w:t>
            </w:r>
          </w:p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634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634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Recordar al paciente tener hojas en blanco, lápiz y borrador para la siguiente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en blanco, lápiz, borrador, sacapuntas.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634" w:val="clear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Examen del estado mental: evaluar el lenguaje corporal, coherencia con el verbal, así como los ademanes utilizados. </w:t>
            </w:r>
          </w:p>
          <w:p w:rsidR="00000000" w:rsidDel="00000000" w:rsidP="00000000" w:rsidRDefault="00000000" w:rsidRPr="00000000" w14:paraId="0000005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Entrevista semiestructurada: recolectar información fundamental para conocer la historia del problema actual y las áreas más afectadas para el paciente.</w:t>
            </w:r>
          </w:p>
        </w:tc>
      </w:tr>
    </w:tbl>
    <w:p w:rsidR="00000000" w:rsidDel="00000000" w:rsidP="00000000" w:rsidRDefault="00000000" w:rsidRPr="00000000" w14:paraId="00000056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tabs>
        <w:tab w:val="center" w:pos="4680"/>
        <w:tab w:val="right" w:pos="9360"/>
      </w:tabs>
      <w:spacing w:line="240" w:lineRule="auto"/>
      <w:rPr/>
    </w:pPr>
    <w:r w:rsidDel="00000000" w:rsidR="00000000" w:rsidRPr="00000000">
      <w:rPr>
        <w:rFonts w:ascii="Calibri" w:cs="Calibri" w:eastAsia="Calibri" w:hAnsi="Calibri"/>
        <w:rtl w:val="0"/>
      </w:rPr>
      <w:tab/>
      <w:tab/>
    </w:r>
    <w:r w:rsidDel="00000000" w:rsidR="00000000" w:rsidRPr="00000000">
      <w:rPr>
        <w:rtl w:val="0"/>
      </w:rPr>
      <w:t xml:space="preserve">FA19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-857249</wp:posOffset>
          </wp:positionH>
          <wp:positionV relativeFrom="paragraph">
            <wp:posOffset>-342899</wp:posOffset>
          </wp:positionV>
          <wp:extent cx="2308860" cy="857250"/>
          <wp:effectExtent b="0" l="0" r="0" t="0"/>
          <wp:wrapNone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26696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