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7"/>
        <w:gridCol w:w="1462"/>
        <w:gridCol w:w="2264"/>
        <w:tblGridChange w:id="0">
          <w:tblGrid>
            <w:gridCol w:w="1757"/>
            <w:gridCol w:w="941"/>
            <w:gridCol w:w="2687"/>
            <w:gridCol w:w="1462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Marlies Maldonado 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S.Y.P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 de agosto 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Recolectar información relevante de las habilidades matemáticas de la paciente por medio de la aplicación de screening.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Establecimiento de rapport por medio de preguntas como; “¿qué tal te fue esta semana? ¿cómo te fue en las clases?”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Elaboración de lista de planificación, con el objetivo de que la paciente desarrolle estrategias de organización y manejo del tiempo.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primer lugar, se le presentarán a la paciente una serie de operaciones elementales, y se le pedirá que resuelva las mismas mentalmente; y luego con lápiz y papel. El objetivo es observar su desempeño en ambos casos.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continuación, con la finalidad de evaluar su estructuración espacial y discriminación visual, se le presentarán 3 imagenes con una pieza faltante. Ella deberá escoger la pieza correspondiente para completar la figura.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igual manera, se le presentará una serie de figuras. Debajo de las mismas, la paciente deberá dibujar la misma figura ejemplo.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Posteriormente, se le mostrará una serie de imágenes y se le pedirá que copie 3 de ellas utilizando su cuaderno cuadricula y regla. 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Además, para poder evaluar sus habilidades de factorización, se le presentarán tres ejercicios con factor común.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Finalmente, se le presentarán una serie de fracciones visuales y se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Breve juego 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pictionary.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discutirá sobre lo que se realizó durante la sesión; que aprendió, que le gustó, que no le gustó. Se explicar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á el plan paralelo.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 de ejercicios matem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ticos.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 medio de los resultados del screening, se obtendrá una perspectiva más amplia de las fortalezas y debilidades de la paciente. </w:t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dQFJjWOzQ4maNkZGCWt33X82TA==">AMUW2mUG+ye7TqIb5eqYIlHXHmthWXr5D1zGbggg4MYrxE1nRAQd7lX2FpO72JbncbtihN577mnynMr6674X0wjaX9RzZvGAjW4WdQxhE7Sz4UQR5jhAZek=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2021-08-14T00:31:00Z</dcterms:created>
  <dc:creator>ANA LUCIA ZELADA GUEVAR</dc:creator>
</cp:coreProperties>
</file>