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Pilar Mansilla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30/09/2021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highlight w:val="white"/>
              </w:rPr>
            </w:pPr>
            <w:bookmarkStart w:colFirst="0" w:colLast="0" w:name="_heading=h.1sx96qmb2p" w:id="0"/>
            <w:bookmarkEnd w:id="0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las subpruebas de habilidades espaciales: comprensión y expresión junto con los signos neurológicos blandos de la prueba ENI-2. </w:t>
            </w:r>
          </w:p>
          <w:p w:rsidR="00000000" w:rsidDel="00000000" w:rsidP="00000000" w:rsidRDefault="00000000" w:rsidRPr="00000000" w14:paraId="0000001C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hbv84tea8pwh" w:id="1"/>
            <w:bookmarkEnd w:id="1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Comenzar a evaluar las habilidades lectoras de la prueba Prolec-R.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preguntará sobre su semana, los momentos difíciles y los memorables.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4.6264648437502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ejercitará el seguimiento de instrucciones por medio de un juego de “Simón dice”, en donde por cada indicación que se le de con la palabra “simón” deberá hacerlo.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(45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spacing w:after="200" w:line="360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 aplicarán las subpruebas de habilidades lectoras de la prueba Prolec-R.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Manual de aplicación y anotación</w:t>
            </w:r>
          </w:p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 y borrador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jugará una partida de Totito, para poder descansar de la prueba estandarizada.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 de papel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Marcadores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A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que complete una sopa de letras, creando oraciones con las palabras encontradas.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Sopa de letras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información necesaria para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seguir elaborando la propuesta de evaluación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con el paciente. Así mismo se evaluará las funciones ejecutivas y seguimiento de instrucciones del paciente.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-803901</wp:posOffset>
          </wp:positionH>
          <wp:positionV relativeFrom="paragraph">
            <wp:posOffset>-316857</wp:posOffset>
          </wp:positionV>
          <wp:extent cx="2308860" cy="857250"/>
          <wp:effectExtent b="0" l="0" r="0" t="0"/>
          <wp:wrapNone/>
          <wp:docPr descr="C:\Users\hernandez100121\Desktop\LOGOCLINICAS1.png" id="9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+fCQLT8Vzpjm46uPc7zNHlD5ew==">AMUW2mUOWuuSxIjg6ZBYcF1U5gKJu4lpoWhlnifhfH41nYJnKWVFlbrLrqtliDSIQcfjYQxA53YU3xBDxYQruoF9R0ZWL3aNoA1FnrN6ZzINxgZbwSoM4f0Vo7tHsw/CcQicCmQFTryggYS2+BcvZdh5Zhzn9JA3Qw==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