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Victoria Maria Rios Mendoza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J.A.V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13/08/2021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Disminuir los rasgos de inestabilidad emocional en un niño de 8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Aplicación de pruebas proyectiva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Establecimiento del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 alianza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terapéutica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para desarrollar una buena comunicación y colaboración durante la terapia.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Evaluación de aspectos generales, personalidad,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traumas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percepción dinámica familiar, relaciones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sociales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conocimiento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actividades y rutinas realizadas por el paciente utilizando el formato de entrevista para niños. 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Saludo y presentación personal del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terapeuta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hacia el paciente. (5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Explicación de las normas de trabajo durante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aplicación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las prueba proyectivas(5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Espacio de resolución de dudas o comentarios. (5 min)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 figura humana. (1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min)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 la familia. (1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min)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del árbol.(10min)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Aplicación de prueba persona bajo la lluvia. (10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Despedida. (5 min)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Protocolo de prueba de la figura humana, familia, persona bajo la lluvia y árbol.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tamaño carta en blanco, lápiz y borrador.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Formato de examen del estado mental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Debido a que durante la tercera sesión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aplicarán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proyectivas; aún no se ha determinado la variante, enfoque o técnicas con las cuales se intervendrá durante el proceso de intervención terapéutico. Por lo cual aún no se asignará un plan paralelo para trabajar fuera de la clínica,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se asignó ninguna actividad para trabajar fuera de la clínica, por lo cual no se necesitarán materiales.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las pruebas recopilar datos acerca de la dinámica familiar en la cual se desenvuelve el paciente, métodos de crianza,percepción individual, pensamientos, emociones, trauma e intereses, desarrollo en el entorno académico, historia clínica, antecedentes de enfermedades del paciente o familiares, hábitos; desarrollo físico, mental y psicológico del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120" w:before="12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Análisis del examen del estado mental del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Prrafodelista">
    <w:name w:val="List Paragraph"/>
    <w:basedOn w:val="Normal"/>
    <w:uiPriority w:val="34"/>
    <w:qFormat w:val="1"/>
    <w:rsid w:val="00EB66E5"/>
    <w:pPr>
      <w:ind w:left="720"/>
      <w:contextualSpacing w:val="1"/>
    </w:p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k8ckTIbwW0cErirUzlxu8LALA==">AMUW2mUs70WwuvsjtosOCtg21yttP9wzXusclrQ9KTR62DJ+HGId1xjdo5XjNBZ4m5+SjPqBQ4OheZGBC8Jmdo+ShE7Rj8PU00wo0gwcqVNKV+KmYxMzfYWz8lCF2Db7fetSGX5h4wHd15+B3UNYnmO1CBqDmAjYpw==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