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Victoria Maria Rios Mendoza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J.A.V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06/08/2021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Elaboración de proceso de entrevista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la 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Olivia Health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realizará una presentación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personal entre el paciente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el terapeuta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Explicación de normas de convivencia y manejo de la confidencialidad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el proceso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terapéutico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Elaboración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entrevista para niños para conocer acerca de la perspectiva y motivo de consulta del paciente; indagando en su percepción de la dinámica familiar, entorno escolar, desarrollo general, opiniones.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Identificación de hábitos, gustos e intereses del paciente.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Aplicación del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del estado mental para evaluar aspectos de la presentación personal,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lenguaje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estado de ánimo, comunicación y cognición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Establecimiento del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 alianza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terapéutica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para desarrollar una buena comunicación y colaboración durante la terapia.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Evaluación de aspectos generales, dinámica familiar, relaciones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sociales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actividades y rutinas realizadas por el paciente utilizando el formato de entrevista para niños. 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Evaluación de presentación personal,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características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del lenguaje, estado de ánimo, contenido del pensamiento,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funcionamiento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cognitivo, afectivo y sensorial mediante el uso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del estado mental.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y presentación personal del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terapeuta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hacia el paciente. (5 min)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normas de convivencia y manejo de la confidencialidad en la clínica, mediante el uso de una presentación con imágenes animadas que ejemplifiquen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cada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norma. (5 min)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Elaboración de la entrevista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utilizando el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formato de entrevista para niños, indagando en el motivo de consulta, influencia del entorno e identificando posibles malestares presentes. (40 min)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del proceso de entrevista y resolución de posibles dudas de parte del paciente. (5 min)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Despedida. (5 min)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para niños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Presentación de normas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convivencia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examen del estado mental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Debido a que durante la segunda sesión se ha realizado la entrevista  a el paciente; aún no se ha determinado la variante, enfoque o técnicas con las cuales se intervendrá durante el proceso de intervención terapéutico. Por lo cual aún no se asignará un plan paralelo para trabajar fuera de la clínica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se asignó ninguna actividad para trabajar fuera de la clínica, por lo cual no se necesitarán materiales.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Mediante la entrevista a el paciente se buscará recopilar datos acerca de la dinámica familiar en la cual se desenvuelve el paciente, métodos de crianza,percepción individual, pensamientos, emociones, trauma e intereses, desarrollo en el entorno académico, historia clínica, antecedentes de enfermedades del paciente o familiares, hábitos; desarrollo físico, mental y psicológico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120" w:before="12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Análisis del examen del estado mental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EB66E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5de7DkSurFihCeZ0Neff+XPP8Q==">AMUW2mXpTRKXi/sYo7ON0RqGMvFnWObCJCHFoKJMzKEtXZcZfszm1wpRY/cBElbcrtdDuH6lAy5gQribekFsgwhCm97wm2Qh4Ilp8dgpZrDeu+1JMT//kBbiz6yBG5H/vADDcMwHPqWr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