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B67F60">
        <w:rPr>
          <w:rFonts w:ascii="Arial" w:eastAsia="Arial" w:hAnsi="Arial" w:cs="Arial"/>
          <w:b/>
          <w:color w:val="000000"/>
        </w:rPr>
        <w:t>1</w:t>
      </w:r>
      <w:r w:rsidR="006275D1">
        <w:rPr>
          <w:rFonts w:ascii="Arial" w:eastAsia="Arial" w:hAnsi="Arial" w:cs="Arial"/>
          <w:b/>
          <w:color w:val="000000"/>
        </w:rPr>
        <w:t>2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8E4CBA">
        <w:rPr>
          <w:rFonts w:ascii="Arial" w:eastAsia="Arial" w:hAnsi="Arial" w:cs="Arial"/>
          <w:color w:val="000000"/>
        </w:rPr>
        <w:t>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8E4CBA">
        <w:rPr>
          <w:rFonts w:ascii="Arial" w:eastAsia="Arial" w:hAnsi="Arial" w:cs="Arial"/>
          <w:color w:val="000000"/>
        </w:rPr>
        <w:t>A M R 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6275D1">
        <w:rPr>
          <w:rFonts w:ascii="Arial" w:eastAsia="Arial" w:hAnsi="Arial" w:cs="Arial"/>
          <w:color w:val="000000"/>
        </w:rPr>
        <w:t>16</w:t>
      </w:r>
      <w:r w:rsidR="007224F3">
        <w:rPr>
          <w:rFonts w:ascii="Arial" w:eastAsia="Arial" w:hAnsi="Arial" w:cs="Arial"/>
          <w:color w:val="000000"/>
        </w:rPr>
        <w:t>/04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8E4CBA">
        <w:rPr>
          <w:rFonts w:ascii="Arial" w:eastAsia="Arial" w:hAnsi="Arial" w:cs="Arial"/>
          <w:color w:val="000000"/>
        </w:rPr>
        <w:t>14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6275D1">
        <w:rPr>
          <w:rFonts w:ascii="Arial" w:eastAsia="Arial" w:hAnsi="Arial" w:cs="Arial"/>
          <w:color w:val="000000"/>
        </w:rPr>
        <w:t>24</w:t>
      </w:r>
      <w:r w:rsidR="00222A0D">
        <w:rPr>
          <w:rFonts w:ascii="Arial" w:eastAsia="Arial" w:hAnsi="Arial" w:cs="Arial"/>
          <w:color w:val="000000"/>
        </w:rPr>
        <w:t>/0</w:t>
      </w:r>
      <w:r w:rsidR="00B67F60">
        <w:rPr>
          <w:rFonts w:ascii="Arial" w:eastAsia="Arial" w:hAnsi="Arial" w:cs="Arial"/>
          <w:color w:val="000000"/>
        </w:rPr>
        <w:t>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2195F" w:rsidRPr="0082195F">
        <w:tc>
          <w:tcPr>
            <w:tcW w:w="911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Objetivo de la sesión:</w:t>
            </w:r>
          </w:p>
        </w:tc>
      </w:tr>
      <w:tr w:rsidR="00D537DC" w:rsidRPr="0082195F" w:rsidTr="00C64A64">
        <w:tc>
          <w:tcPr>
            <w:tcW w:w="9111" w:type="dxa"/>
            <w:vAlign w:val="center"/>
          </w:tcPr>
          <w:p w:rsidR="00D537DC" w:rsidRPr="0082195F" w:rsidRDefault="00C74717" w:rsidP="006275D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>
              <w:t xml:space="preserve">Realizar el post-test en el área de </w:t>
            </w:r>
            <w:r w:rsidR="008E4CBA">
              <w:t xml:space="preserve">lectura: </w:t>
            </w:r>
            <w:r w:rsidR="006275D1">
              <w:t>Comprensión y fluidez lectora.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2195F" w:rsidRPr="00B81360">
        <w:tc>
          <w:tcPr>
            <w:tcW w:w="1980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Descripción de lo realizado</w:t>
            </w:r>
          </w:p>
        </w:tc>
      </w:tr>
      <w:tr w:rsidR="0082195F" w:rsidRPr="00B81360" w:rsidTr="00EA1E9A">
        <w:tc>
          <w:tcPr>
            <w:tcW w:w="1980" w:type="dxa"/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C74321" w:rsidRPr="00B81360" w:rsidRDefault="00C74321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B81360">
              <w:rPr>
                <w:rFonts w:cs="Arial"/>
                <w:color w:val="auto"/>
              </w:rPr>
              <w:t xml:space="preserve">Presentar la agenda de la sesión. </w:t>
            </w:r>
          </w:p>
          <w:p w:rsidR="000F7B0B" w:rsidRPr="00B81360" w:rsidRDefault="00B52D20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647984">
              <w:rPr>
                <w:rFonts w:cs="Arial"/>
              </w:rPr>
              <w:t>Revisión de hoja sobre la ejercitación visual diaria.</w:t>
            </w:r>
          </w:p>
        </w:tc>
      </w:tr>
      <w:tr w:rsidR="00C74717" w:rsidRPr="00B81360" w:rsidTr="00783C2F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C74717" w:rsidRPr="00B81360" w:rsidRDefault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Concentración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C74717" w:rsidRPr="00B81360" w:rsidRDefault="004E4914" w:rsidP="006275D1">
            <w:pPr>
              <w:pStyle w:val="EstiloPS"/>
              <w:spacing w:line="276" w:lineRule="auto"/>
              <w:jc w:val="both"/>
            </w:pPr>
            <w:r>
              <w:t>Realizar el p</w:t>
            </w:r>
            <w:r w:rsidR="006275D1">
              <w:t xml:space="preserve">ost-test en el área de lectura: </w:t>
            </w:r>
            <w:r w:rsidR="006275D1">
              <w:t>Comprensión y fluidez lectora.</w:t>
            </w:r>
          </w:p>
        </w:tc>
      </w:tr>
      <w:tr w:rsidR="00C74717" w:rsidRPr="00B81360" w:rsidTr="00783C2F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C74717" w:rsidRPr="00B81360" w:rsidRDefault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C74717" w:rsidRPr="000E60F6" w:rsidRDefault="00C74717" w:rsidP="00C74717">
            <w:pPr>
              <w:pStyle w:val="EstiloPS"/>
              <w:ind w:left="176"/>
              <w:jc w:val="both"/>
            </w:pPr>
          </w:p>
        </w:tc>
      </w:tr>
      <w:tr w:rsidR="00C74717" w:rsidRPr="00B81360" w:rsidTr="00E0246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C74717" w:rsidRPr="00B81360" w:rsidRDefault="00C74717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C74717" w:rsidRPr="000E60F6" w:rsidRDefault="00C74717" w:rsidP="004344C8">
            <w:pPr>
              <w:pStyle w:val="EstiloPS"/>
              <w:jc w:val="both"/>
            </w:pPr>
          </w:p>
        </w:tc>
      </w:tr>
      <w:tr w:rsidR="00C74717" w:rsidRPr="00B81360" w:rsidTr="00E02468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C74717" w:rsidRPr="00B81360" w:rsidRDefault="00C74717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C74717" w:rsidRPr="00B81360" w:rsidRDefault="00C74717" w:rsidP="00C74321">
            <w:pPr>
              <w:pStyle w:val="NormalWeb"/>
              <w:spacing w:before="120" w:after="120" w:line="276" w:lineRule="auto"/>
              <w:jc w:val="both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</w:tc>
      </w:tr>
      <w:tr w:rsidR="00C74717" w:rsidRPr="00B81360">
        <w:tc>
          <w:tcPr>
            <w:tcW w:w="1980" w:type="dxa"/>
            <w:shd w:val="clear" w:color="auto" w:fill="C6D9F1"/>
          </w:tcPr>
          <w:p w:rsidR="00C74717" w:rsidRPr="00B81360" w:rsidRDefault="00C74717" w:rsidP="00DA4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Plan paralelo</w:t>
            </w:r>
          </w:p>
        </w:tc>
        <w:tc>
          <w:tcPr>
            <w:tcW w:w="7131" w:type="dxa"/>
            <w:vMerge/>
            <w:vAlign w:val="center"/>
          </w:tcPr>
          <w:p w:rsidR="00C74717" w:rsidRPr="00830B1B" w:rsidRDefault="00C74717" w:rsidP="00A533F3">
            <w:pPr>
              <w:pStyle w:val="EstiloPS"/>
              <w:ind w:left="314"/>
              <w:jc w:val="both"/>
            </w:pP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2195F" w:rsidRPr="0082195F">
        <w:tc>
          <w:tcPr>
            <w:tcW w:w="3402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¿Por qué?</w:t>
            </w:r>
          </w:p>
        </w:tc>
      </w:tr>
      <w:tr w:rsidR="003B1ACB" w:rsidRPr="0082195F" w:rsidTr="004344C8">
        <w:trPr>
          <w:trHeight w:val="1550"/>
        </w:trPr>
        <w:tc>
          <w:tcPr>
            <w:tcW w:w="3402" w:type="dxa"/>
            <w:vAlign w:val="center"/>
          </w:tcPr>
          <w:p w:rsidR="003B1ACB" w:rsidRPr="0082195F" w:rsidRDefault="00C7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Avance</w:t>
            </w:r>
          </w:p>
        </w:tc>
        <w:tc>
          <w:tcPr>
            <w:tcW w:w="5709" w:type="dxa"/>
            <w:vAlign w:val="center"/>
          </w:tcPr>
          <w:p w:rsidR="001D01AD" w:rsidRPr="0082195F" w:rsidRDefault="00615839" w:rsidP="00627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La</w:t>
            </w:r>
            <w:r w:rsidR="00DA4B22">
              <w:rPr>
                <w:rFonts w:ascii="Arial" w:eastAsia="Arial" w:hAnsi="Arial" w:cs="Arial"/>
                <w:color w:val="auto"/>
              </w:rPr>
              <w:t xml:space="preserve"> paciente logró </w:t>
            </w:r>
            <w:r w:rsidR="006275D1">
              <w:rPr>
                <w:rFonts w:ascii="Arial" w:eastAsia="Arial" w:hAnsi="Arial" w:cs="Arial"/>
                <w:color w:val="auto"/>
              </w:rPr>
              <w:t>terminar de resolver el post-test</w:t>
            </w:r>
            <w:r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</w:tbl>
    <w:p w:rsidR="008165A0" w:rsidRPr="0082195F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2195F" w:rsidRPr="0082195F">
        <w:tc>
          <w:tcPr>
            <w:tcW w:w="9111" w:type="dxa"/>
            <w:gridSpan w:val="3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Aspectos generales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lastRenderedPageBreak/>
              <w:t>¿Inició con puntualidad la sesión?</w:t>
            </w:r>
          </w:p>
        </w:tc>
        <w:tc>
          <w:tcPr>
            <w:tcW w:w="846" w:type="dxa"/>
          </w:tcPr>
          <w:p w:rsidR="003B1ACB" w:rsidRPr="0082195F" w:rsidRDefault="00565579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565579" w:rsidP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Por medio de la plataforma de Zoom</w:t>
            </w:r>
            <w:r w:rsidR="004344C8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29507E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29507E">
              <w:rPr>
                <w:rFonts w:ascii="Arial" w:eastAsia="Arial" w:hAnsi="Arial" w:cs="Arial"/>
                <w:b/>
                <w:color w:val="auto"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29507E" w:rsidRDefault="00B81360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 w:rsidRPr="0029507E"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615839" w:rsidP="00627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La</w:t>
            </w:r>
            <w:r w:rsidR="00DA4B22">
              <w:rPr>
                <w:rFonts w:ascii="Arial" w:eastAsia="Arial" w:hAnsi="Arial" w:cs="Arial"/>
                <w:color w:val="auto"/>
              </w:rPr>
              <w:t xml:space="preserve"> paciente logró </w:t>
            </w:r>
            <w:r w:rsidR="00C74717">
              <w:rPr>
                <w:rFonts w:ascii="Arial" w:eastAsia="Arial" w:hAnsi="Arial" w:cs="Arial"/>
                <w:color w:val="auto"/>
              </w:rPr>
              <w:t>completar los ejercicios</w:t>
            </w:r>
            <w:r>
              <w:rPr>
                <w:rFonts w:ascii="Arial" w:eastAsia="Arial" w:hAnsi="Arial" w:cs="Arial"/>
                <w:color w:val="auto"/>
              </w:rPr>
              <w:t xml:space="preserve"> de lectura (</w:t>
            </w:r>
            <w:r w:rsidR="006275D1">
              <w:rPr>
                <w:rFonts w:ascii="Arial" w:eastAsia="Arial" w:hAnsi="Arial" w:cs="Arial"/>
                <w:color w:val="auto"/>
              </w:rPr>
              <w:t>segunda</w:t>
            </w:r>
            <w:r>
              <w:rPr>
                <w:rFonts w:ascii="Arial" w:eastAsia="Arial" w:hAnsi="Arial" w:cs="Arial"/>
                <w:color w:val="auto"/>
              </w:rPr>
              <w:t xml:space="preserve"> parte)</w:t>
            </w:r>
            <w:r w:rsidR="00C74717">
              <w:rPr>
                <w:rFonts w:ascii="Arial" w:eastAsia="Arial" w:hAnsi="Arial" w:cs="Arial"/>
                <w:color w:val="auto"/>
              </w:rPr>
              <w:t xml:space="preserve"> del post-test.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29507E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29507E">
              <w:rPr>
                <w:rFonts w:ascii="Arial" w:eastAsia="Arial" w:hAnsi="Arial" w:cs="Arial"/>
                <w:b/>
                <w:color w:val="auto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29507E" w:rsidRDefault="00C74717" w:rsidP="00615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29507E">
              <w:rPr>
                <w:rFonts w:ascii="Arial" w:hAnsi="Arial" w:cs="Arial"/>
              </w:rPr>
              <w:t xml:space="preserve">Área de </w:t>
            </w:r>
            <w:r w:rsidR="00615839">
              <w:rPr>
                <w:rFonts w:ascii="Arial" w:hAnsi="Arial" w:cs="Arial"/>
              </w:rPr>
              <w:t xml:space="preserve">Lectura: </w:t>
            </w:r>
            <w:r w:rsidR="006275D1">
              <w:t>Comprensión y fluidez lectora.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2195F" w:rsidRDefault="00B52D20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Ejercicios</w:t>
            </w:r>
            <w:r w:rsidR="005F6512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222A0D" w:rsidRPr="0082195F">
              <w:rPr>
                <w:rFonts w:ascii="Arial" w:eastAsia="Arial" w:hAnsi="Arial" w:cs="Arial"/>
                <w:color w:val="auto"/>
              </w:rPr>
              <w:t>en Power Point</w:t>
            </w:r>
            <w:r w:rsidR="005F6512" w:rsidRPr="0082195F">
              <w:rPr>
                <w:rFonts w:ascii="Arial" w:eastAsia="Arial" w:hAnsi="Arial" w:cs="Arial"/>
                <w:color w:val="auto"/>
              </w:rPr>
              <w:t>.</w:t>
            </w:r>
          </w:p>
          <w:p w:rsidR="00DF51B7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Pizarra en Zoom</w:t>
            </w:r>
          </w:p>
          <w:p w:rsidR="001D01AD" w:rsidRPr="0082195F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Hojas de papel y lápiz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6275D1" w:rsidP="00627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Muy b</w:t>
            </w:r>
            <w:r w:rsidR="00354FC1" w:rsidRPr="0082195F">
              <w:rPr>
                <w:rFonts w:ascii="Arial" w:eastAsia="Arial" w:hAnsi="Arial" w:cs="Arial"/>
                <w:color w:val="auto"/>
              </w:rPr>
              <w:t xml:space="preserve">ueno. </w:t>
            </w:r>
            <w:r>
              <w:rPr>
                <w:rFonts w:ascii="Arial" w:eastAsia="Arial" w:hAnsi="Arial" w:cs="Arial"/>
                <w:color w:val="auto"/>
              </w:rPr>
              <w:t>El pedirle que implemente las técnicas que aprendió durante las sesiones, le ha dado confianza en leer en voz alta, es más cuidadosa en su lectura para no confundir palabras.</w:t>
            </w:r>
            <w:r w:rsidR="00615839">
              <w:rPr>
                <w:rFonts w:ascii="Arial" w:eastAsia="Arial" w:hAnsi="Arial" w:cs="Arial"/>
                <w:color w:val="auto"/>
              </w:rPr>
              <w:t xml:space="preserve"> </w:t>
            </w:r>
            <w:r w:rsidR="00A6269F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DF51B7" w:rsidRDefault="006275D1" w:rsidP="006A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hAnsi="Arial" w:cs="Arial"/>
              </w:rPr>
              <w:t>Entrega de informe a la madre de la paciente.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903F8F" w:rsidRPr="0082195F" w:rsidRDefault="006275D1" w:rsidP="00615839">
            <w:pPr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El haber creado un ambiente de confianza con la paciente, ha influenciado en que se sienta segura al leer y si tiene alguna duda o no comprende la instrucción, pregunta con facilidad.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206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Aprendizajes importantes a</w:t>
            </w:r>
            <w:r w:rsidR="000D5C7A" w:rsidRPr="0082195F">
              <w:rPr>
                <w:rFonts w:ascii="Arial" w:eastAsia="Arial" w:hAnsi="Arial" w:cs="Arial"/>
                <w:b/>
                <w:color w:val="auto"/>
              </w:rPr>
              <w:t>rendidos: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82195F" w:rsidRDefault="006275D1" w:rsidP="00A62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color w:val="auto"/>
              </w:rPr>
              <w:t>Es importante que la paciente continúe realizando los ejercicios</w:t>
            </w:r>
            <w:bookmarkStart w:id="2" w:name="_GoBack"/>
            <w:bookmarkEnd w:id="2"/>
            <w:r>
              <w:rPr>
                <w:rFonts w:ascii="Arial" w:eastAsia="Arial" w:hAnsi="Arial" w:cs="Arial"/>
                <w:color w:val="auto"/>
              </w:rPr>
              <w:t xml:space="preserve"> visuales trabajados en la intervención para que practique el movimiento de ojos y le ayude en la fluidez lectora. </w:t>
            </w:r>
          </w:p>
        </w:tc>
      </w:tr>
    </w:tbl>
    <w:p w:rsidR="003B1ACB" w:rsidRDefault="003B1ACB" w:rsidP="002068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CE9" w:rsidRDefault="00345CE9">
      <w:pPr>
        <w:spacing w:after="0" w:line="240" w:lineRule="auto"/>
      </w:pPr>
      <w:r>
        <w:separator/>
      </w:r>
    </w:p>
  </w:endnote>
  <w:endnote w:type="continuationSeparator" w:id="0">
    <w:p w:rsidR="00345CE9" w:rsidRDefault="0034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CE9" w:rsidRDefault="00345CE9">
      <w:pPr>
        <w:spacing w:after="0" w:line="240" w:lineRule="auto"/>
      </w:pPr>
      <w:r>
        <w:separator/>
      </w:r>
    </w:p>
  </w:footnote>
  <w:footnote w:type="continuationSeparator" w:id="0">
    <w:p w:rsidR="00345CE9" w:rsidRDefault="00345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B712BF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7E8F"/>
    <w:multiLevelType w:val="hybridMultilevel"/>
    <w:tmpl w:val="26DE97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6EC4"/>
    <w:multiLevelType w:val="hybridMultilevel"/>
    <w:tmpl w:val="400A2E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947E6"/>
    <w:multiLevelType w:val="hybridMultilevel"/>
    <w:tmpl w:val="2B20CA80"/>
    <w:lvl w:ilvl="0" w:tplc="100A000F">
      <w:start w:val="1"/>
      <w:numFmt w:val="decimal"/>
      <w:lvlText w:val="%1."/>
      <w:lvlJc w:val="left"/>
      <w:pPr>
        <w:ind w:left="742" w:hanging="348"/>
      </w:pPr>
      <w:rPr>
        <w:rFonts w:hint="default"/>
        <w:w w:val="99"/>
        <w:sz w:val="32"/>
        <w:szCs w:val="32"/>
        <w:lang w:val="es-ES" w:eastAsia="en-US" w:bidi="ar-SA"/>
      </w:rPr>
    </w:lvl>
    <w:lvl w:ilvl="1" w:tplc="3BB4B4AA">
      <w:numFmt w:val="bullet"/>
      <w:lvlText w:val="•"/>
      <w:lvlJc w:val="left"/>
      <w:pPr>
        <w:ind w:left="1632" w:hanging="348"/>
      </w:pPr>
      <w:rPr>
        <w:rFonts w:hint="default"/>
        <w:lang w:val="es-ES" w:eastAsia="en-US" w:bidi="ar-SA"/>
      </w:rPr>
    </w:lvl>
    <w:lvl w:ilvl="2" w:tplc="810E8E82">
      <w:numFmt w:val="bullet"/>
      <w:lvlText w:val="•"/>
      <w:lvlJc w:val="left"/>
      <w:pPr>
        <w:ind w:left="2525" w:hanging="348"/>
      </w:pPr>
      <w:rPr>
        <w:rFonts w:hint="default"/>
        <w:lang w:val="es-ES" w:eastAsia="en-US" w:bidi="ar-SA"/>
      </w:rPr>
    </w:lvl>
    <w:lvl w:ilvl="3" w:tplc="AA40DB06">
      <w:numFmt w:val="bullet"/>
      <w:lvlText w:val="•"/>
      <w:lvlJc w:val="left"/>
      <w:pPr>
        <w:ind w:left="3417" w:hanging="348"/>
      </w:pPr>
      <w:rPr>
        <w:rFonts w:hint="default"/>
        <w:lang w:val="es-ES" w:eastAsia="en-US" w:bidi="ar-SA"/>
      </w:rPr>
    </w:lvl>
    <w:lvl w:ilvl="4" w:tplc="09DC98F6">
      <w:numFmt w:val="bullet"/>
      <w:lvlText w:val="•"/>
      <w:lvlJc w:val="left"/>
      <w:pPr>
        <w:ind w:left="4310" w:hanging="348"/>
      </w:pPr>
      <w:rPr>
        <w:rFonts w:hint="default"/>
        <w:lang w:val="es-ES" w:eastAsia="en-US" w:bidi="ar-SA"/>
      </w:rPr>
    </w:lvl>
    <w:lvl w:ilvl="5" w:tplc="BD70FD62">
      <w:numFmt w:val="bullet"/>
      <w:lvlText w:val="•"/>
      <w:lvlJc w:val="left"/>
      <w:pPr>
        <w:ind w:left="5203" w:hanging="348"/>
      </w:pPr>
      <w:rPr>
        <w:rFonts w:hint="default"/>
        <w:lang w:val="es-ES" w:eastAsia="en-US" w:bidi="ar-SA"/>
      </w:rPr>
    </w:lvl>
    <w:lvl w:ilvl="6" w:tplc="1ADCAB24">
      <w:numFmt w:val="bullet"/>
      <w:lvlText w:val="•"/>
      <w:lvlJc w:val="left"/>
      <w:pPr>
        <w:ind w:left="6095" w:hanging="348"/>
      </w:pPr>
      <w:rPr>
        <w:rFonts w:hint="default"/>
        <w:lang w:val="es-ES" w:eastAsia="en-US" w:bidi="ar-SA"/>
      </w:rPr>
    </w:lvl>
    <w:lvl w:ilvl="7" w:tplc="18F49C9E">
      <w:numFmt w:val="bullet"/>
      <w:lvlText w:val="•"/>
      <w:lvlJc w:val="left"/>
      <w:pPr>
        <w:ind w:left="6988" w:hanging="348"/>
      </w:pPr>
      <w:rPr>
        <w:rFonts w:hint="default"/>
        <w:lang w:val="es-ES" w:eastAsia="en-US" w:bidi="ar-SA"/>
      </w:rPr>
    </w:lvl>
    <w:lvl w:ilvl="8" w:tplc="03D8D4F4">
      <w:numFmt w:val="bullet"/>
      <w:lvlText w:val="•"/>
      <w:lvlJc w:val="left"/>
      <w:pPr>
        <w:ind w:left="7881" w:hanging="348"/>
      </w:pPr>
      <w:rPr>
        <w:rFonts w:hint="default"/>
        <w:lang w:val="es-ES" w:eastAsia="en-US" w:bidi="ar-SA"/>
      </w:rPr>
    </w:lvl>
  </w:abstractNum>
  <w:abstractNum w:abstractNumId="4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3338A"/>
    <w:multiLevelType w:val="hybridMultilevel"/>
    <w:tmpl w:val="CC742E2E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321B7"/>
    <w:multiLevelType w:val="hybridMultilevel"/>
    <w:tmpl w:val="42E496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4436CF"/>
    <w:multiLevelType w:val="hybridMultilevel"/>
    <w:tmpl w:val="DE46D1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32CD0"/>
    <w:rsid w:val="00042E23"/>
    <w:rsid w:val="00052472"/>
    <w:rsid w:val="00052B83"/>
    <w:rsid w:val="00080C57"/>
    <w:rsid w:val="00081FBF"/>
    <w:rsid w:val="000A7099"/>
    <w:rsid w:val="000D5C7A"/>
    <w:rsid w:val="000E0138"/>
    <w:rsid w:val="000E60F6"/>
    <w:rsid w:val="000F7B0B"/>
    <w:rsid w:val="001005C0"/>
    <w:rsid w:val="00130CDF"/>
    <w:rsid w:val="00142A49"/>
    <w:rsid w:val="00160102"/>
    <w:rsid w:val="00194A1E"/>
    <w:rsid w:val="001D01AD"/>
    <w:rsid w:val="00205208"/>
    <w:rsid w:val="00206844"/>
    <w:rsid w:val="00222A0D"/>
    <w:rsid w:val="00264D03"/>
    <w:rsid w:val="0029507E"/>
    <w:rsid w:val="002E4E6E"/>
    <w:rsid w:val="00322B64"/>
    <w:rsid w:val="00345CE9"/>
    <w:rsid w:val="00354FC1"/>
    <w:rsid w:val="00370456"/>
    <w:rsid w:val="003B1ACB"/>
    <w:rsid w:val="003B5F59"/>
    <w:rsid w:val="003C5470"/>
    <w:rsid w:val="004344C8"/>
    <w:rsid w:val="00447BE9"/>
    <w:rsid w:val="004E4914"/>
    <w:rsid w:val="00506696"/>
    <w:rsid w:val="00535C74"/>
    <w:rsid w:val="0055107B"/>
    <w:rsid w:val="00565579"/>
    <w:rsid w:val="00597D7D"/>
    <w:rsid w:val="005F6512"/>
    <w:rsid w:val="00615839"/>
    <w:rsid w:val="006275D1"/>
    <w:rsid w:val="0065303F"/>
    <w:rsid w:val="006A1EC4"/>
    <w:rsid w:val="006C2C9D"/>
    <w:rsid w:val="007224F3"/>
    <w:rsid w:val="00726111"/>
    <w:rsid w:val="00727622"/>
    <w:rsid w:val="00736185"/>
    <w:rsid w:val="007D3E46"/>
    <w:rsid w:val="008154F2"/>
    <w:rsid w:val="008165A0"/>
    <w:rsid w:val="008174FA"/>
    <w:rsid w:val="0082195F"/>
    <w:rsid w:val="00840B28"/>
    <w:rsid w:val="008A75CF"/>
    <w:rsid w:val="008E4CBA"/>
    <w:rsid w:val="00903F8F"/>
    <w:rsid w:val="00907CD4"/>
    <w:rsid w:val="00914AF3"/>
    <w:rsid w:val="00917955"/>
    <w:rsid w:val="00963C88"/>
    <w:rsid w:val="009931C8"/>
    <w:rsid w:val="009D1486"/>
    <w:rsid w:val="00A05E26"/>
    <w:rsid w:val="00A533F3"/>
    <w:rsid w:val="00A56D7F"/>
    <w:rsid w:val="00A6269F"/>
    <w:rsid w:val="00A72B8C"/>
    <w:rsid w:val="00AE451A"/>
    <w:rsid w:val="00B427D4"/>
    <w:rsid w:val="00B52D20"/>
    <w:rsid w:val="00B67F60"/>
    <w:rsid w:val="00B734E3"/>
    <w:rsid w:val="00B81360"/>
    <w:rsid w:val="00BC4928"/>
    <w:rsid w:val="00C573E6"/>
    <w:rsid w:val="00C74321"/>
    <w:rsid w:val="00C74717"/>
    <w:rsid w:val="00C809B0"/>
    <w:rsid w:val="00C934AD"/>
    <w:rsid w:val="00C939E4"/>
    <w:rsid w:val="00CA5C91"/>
    <w:rsid w:val="00CB31E5"/>
    <w:rsid w:val="00CB564F"/>
    <w:rsid w:val="00CE4C0B"/>
    <w:rsid w:val="00D0483B"/>
    <w:rsid w:val="00D33E4C"/>
    <w:rsid w:val="00D37719"/>
    <w:rsid w:val="00D537DC"/>
    <w:rsid w:val="00D80C2F"/>
    <w:rsid w:val="00DA4B22"/>
    <w:rsid w:val="00DC61F1"/>
    <w:rsid w:val="00DF1B56"/>
    <w:rsid w:val="00DF51B7"/>
    <w:rsid w:val="00E41BB8"/>
    <w:rsid w:val="00E836C1"/>
    <w:rsid w:val="00EA1E9A"/>
    <w:rsid w:val="00EB228E"/>
    <w:rsid w:val="00F4187C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21AAB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0B3E63-3A7C-4745-976A-1D8045C62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2</cp:revision>
  <dcterms:created xsi:type="dcterms:W3CDTF">2021-04-12T17:46:00Z</dcterms:created>
  <dcterms:modified xsi:type="dcterms:W3CDTF">2021-04-12T17:46:00Z</dcterms:modified>
</cp:coreProperties>
</file>