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7</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séptima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09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septiembre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Desarrollar la regulación emocional para posteriormente tener las herramientas para la expresión emocional, como conocer una técnica de relajación.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emocional: presentación de una técnica de relajación con el fin de controlar la calma y reducir el estrés como también permitir realizar una regulación emocional adecuada. Como el autoanálisis de sus acciones cuando se presenta una emoción fuerte.</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Técnica de relajación, autoanálisis. </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tab/>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rtl w:val="0"/>
        </w:rPr>
        <w:t xml:space="preserve">Las actividades planificadas se realizaron  aunque no en el tiempo determinado, sin embargo, fue de la manera esperada, como también se logró recolectar la información requerida acerca de cómo la paciente regula sus emociones y cómo actúa frente a estas.</w:t>
      </w: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realizó la enseñanza de una técnica de relajación y se realizó un autoanálisis guiado para conocer cómo la paciente regula sus emociones o sino, que realiza para conseguirlo, en general como actúa ante la presencia de emociones fuertes que pueden generar un descontrol. </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información sobre el conocimiento que tiene la paciente sobre la regulación que hace sobre sus emociones, como también se logró conocer cómo aborda las situaciones que generan una emoción fuerte.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se tuvo un dato importante, sobre una conducta que la madre de la paciente había mencionado anteriormente, que es sobre que la paciente se come las uñas lo que ella misma refiere que fue de esta manera durante un tiempo, pero ahora ya no lo realiza tanto porque ha desaparecido el hábito como porque ahora se realiza manicure por lo que ha estado cuidando más de sus uñas.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1">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mantuvo atención y concentración a lo que la terapeuta comentaba y las instrucciones que brindó.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4">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5">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6">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llevar a cabo la sesión a pesar de que se noto distraída a la paciente se buscaron alternativas en las actividades planteadas para recuperar su atención y que el proceso que se estaba realizando no se perdiera. </w:t>
      </w:r>
    </w:p>
    <w:p w:rsidR="00000000" w:rsidDel="00000000" w:rsidP="00000000" w:rsidRDefault="00000000" w:rsidRPr="00000000" w14:paraId="00000029">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-325748</wp:posOffset>
          </wp:positionV>
          <wp:extent cx="2261870" cy="774065"/>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uaYuzHM1isqvssgjmK31ITXokQ==">AMUW2mVyt15AwLnZVgZBwuN1bq0Ke/YRiP01uJKKv6nKrMA8RgimAOkJFUKokAB6TVDPn31QNhhOmBbv3sNUwggHJ9BerodqqTIKrYZ8TKDVqkWqSo/Muokrpe9Z55XO+EUK0SGEgFkxVhhfPE8vFZJVZpMkPYa5p0EDGiCHWDXsVBwDuLGT7Q1UGCkVfE9PQEbJBvCGtXGGaFzLTeXjoB20EoAJKyiG+Q==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