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rtl w:val="0"/>
        </w:rPr>
        <w:t xml:space="preserve"> #8</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Pilar Mansilla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w:t>
      </w:r>
      <w:r w:rsidDel="00000000" w:rsidR="00000000" w:rsidRPr="00000000">
        <w:rPr>
          <w:rFonts w:ascii="Arial" w:cs="Arial" w:eastAsia="Arial" w:hAnsi="Arial"/>
          <w:rtl w:val="0"/>
        </w:rPr>
        <w:t xml:space="preserve">ño</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b w:val="1"/>
          <w:color w:val="000000"/>
          <w:rtl w:val="0"/>
        </w:rPr>
        <w:t xml:space="preserve">Nombre del paciente: L.</w:t>
      </w:r>
      <w:r w:rsidDel="00000000" w:rsidR="00000000" w:rsidRPr="00000000">
        <w:rPr>
          <w:rFonts w:ascii="Arial" w:cs="Arial" w:eastAsia="Arial" w:hAnsi="Arial"/>
          <w:b w:val="1"/>
          <w:rtl w:val="0"/>
        </w:rPr>
        <w:t xml:space="preserve">A.S</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b w:val="1"/>
          <w:rtl w:val="0"/>
        </w:rPr>
        <w:t xml:space="preserve">30/09 - 1:30 a 2:30 p.m</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b w:val="1"/>
          <w:rtl w:val="0"/>
        </w:rPr>
        <w:t xml:space="preserve"> 07/10 - 1:30 a 2:30 p.m</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spacing w:after="120" w:before="120" w:line="276" w:lineRule="auto"/>
              <w:jc w:val="center"/>
              <w:rPr>
                <w:rFonts w:ascii="Arial" w:cs="Arial" w:eastAsia="Arial" w:hAnsi="Arial"/>
                <w:highlight w:val="white"/>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habilidades espaciales: comprensión y expresión junto con los signos neurológicos blandos de la prueba ENI-2. </w:t>
            </w:r>
          </w:p>
          <w:p w:rsidR="00000000" w:rsidDel="00000000" w:rsidP="00000000" w:rsidRDefault="00000000" w:rsidRPr="00000000" w14:paraId="0000000B">
            <w:pPr>
              <w:spacing w:after="120" w:before="120" w:line="276" w:lineRule="auto"/>
              <w:jc w:val="center"/>
              <w:rPr>
                <w:rFonts w:ascii="Arial" w:cs="Arial" w:eastAsia="Arial" w:hAnsi="Arial"/>
                <w:highlight w:val="white"/>
              </w:rPr>
            </w:pPr>
            <w:bookmarkStart w:colFirst="0" w:colLast="0" w:name="_heading=h.hbv84tea8pwh" w:id="1"/>
            <w:bookmarkEnd w:id="1"/>
            <w:r w:rsidDel="00000000" w:rsidR="00000000" w:rsidRPr="00000000">
              <w:rPr>
                <w:rFonts w:ascii="Arial" w:cs="Arial" w:eastAsia="Arial" w:hAnsi="Arial"/>
                <w:highlight w:val="white"/>
                <w:rtl w:val="0"/>
              </w:rPr>
              <w:t xml:space="preserve">Comenzar a evaluar las habilidades lectoras de la prueba Prolec-R. </w:t>
            </w:r>
          </w:p>
        </w:tc>
      </w:tr>
    </w:tbl>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10">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le preguntó sobre su semana, los momentos más especiales que se recuerda. </w:t>
            </w:r>
          </w:p>
        </w:tc>
      </w:tr>
      <w:tr>
        <w:trPr>
          <w:cantSplit w:val="0"/>
          <w:tblHeader w:val="0"/>
        </w:trPr>
        <w:tc>
          <w:tcPr>
            <w:shd w:fill="c6d9f1"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2">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ejercitó la atención sostenida, el juego que se realizó una partida del juego “Simón dice” donde tenía que hacer lo que se le pidiese siempre y cuando tuviera la frase “Simón dice” al principio. </w:t>
            </w:r>
          </w:p>
        </w:tc>
      </w:tr>
      <w:tr>
        <w:trPr>
          <w:cantSplit w:val="0"/>
          <w:trHeight w:val="220" w:hRule="atLeast"/>
          <w:tblHeader w:val="0"/>
        </w:trPr>
        <w:tc>
          <w:tcPr>
            <w:vMerge w:val="restart"/>
            <w:shd w:fill="c6d9f1" w:val="clear"/>
          </w:tcPr>
          <w:p w:rsidR="00000000" w:rsidDel="00000000" w:rsidP="00000000" w:rsidRDefault="00000000" w:rsidRPr="00000000" w14:paraId="00000013">
            <w:pPr>
              <w:spacing w:after="120" w:before="120" w:line="276" w:lineRule="auto"/>
              <w:jc w:val="center"/>
              <w:rPr>
                <w:rFonts w:ascii="Arial" w:cs="Arial" w:eastAsia="Arial" w:hAnsi="Arial"/>
                <w:b w:val="1"/>
              </w:rPr>
            </w:pPr>
            <w:r w:rsidDel="00000000" w:rsidR="00000000" w:rsidRPr="00000000">
              <w:rPr>
                <w:rFonts w:ascii="Arial" w:cs="Arial" w:eastAsia="Arial" w:hAnsi="Arial"/>
                <w:b w:val="1"/>
                <w:rtl w:val="0"/>
              </w:rPr>
              <w:t xml:space="preserve">Evaluación</w:t>
            </w:r>
          </w:p>
        </w:tc>
        <w:tc>
          <w:tcPr>
            <w:vMerge w:val="restart"/>
            <w:vAlign w:val="center"/>
          </w:tcPr>
          <w:p w:rsidR="00000000" w:rsidDel="00000000" w:rsidP="00000000" w:rsidRDefault="00000000" w:rsidRPr="00000000" w14:paraId="00000014">
            <w:pPr>
              <w:spacing w:after="200" w:line="360"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Se continuará aplicando la prueba ENI - 2, las subpruebas de comprensión y expresión junto con los signos neurológicos blandos. </w:t>
            </w:r>
          </w:p>
          <w:p w:rsidR="00000000" w:rsidDel="00000000" w:rsidP="00000000" w:rsidRDefault="00000000" w:rsidRPr="00000000" w14:paraId="00000015">
            <w:pPr>
              <w:spacing w:after="200" w:line="360"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Se aplicarán las subpruebas de habilidades lectoras de la prueba Prolec-R. </w:t>
            </w:r>
          </w:p>
        </w:tc>
      </w:tr>
      <w:tr>
        <w:trPr>
          <w:cantSplit w:val="0"/>
          <w:trHeight w:val="220" w:hRule="atLeast"/>
          <w:tblHeader w:val="0"/>
        </w:trPr>
        <w:tc>
          <w:tcPr>
            <w:vMerge w:val="continue"/>
            <w:shd w:fill="c6d9f1" w:val="clea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9">
            <w:pPr>
              <w:spacing w:after="200" w:line="360" w:lineRule="auto"/>
              <w:jc w:val="both"/>
              <w:rPr>
                <w:rFonts w:ascii="Arial" w:cs="Arial" w:eastAsia="Arial" w:hAnsi="Arial"/>
              </w:rPr>
            </w:pPr>
            <w:r w:rsidDel="00000000" w:rsidR="00000000" w:rsidRPr="00000000">
              <w:rPr>
                <w:rFonts w:ascii="Arial" w:cs="Arial" w:eastAsia="Arial" w:hAnsi="Arial"/>
                <w:rtl w:val="0"/>
              </w:rPr>
              <w:t xml:space="preserve">Se jugó un partido de fútbol para relajarse de la prueba realizada. </w:t>
            </w:r>
          </w:p>
        </w:tc>
      </w:tr>
      <w:tr>
        <w:trPr>
          <w:cantSplit w:val="0"/>
          <w:tblHeader w:val="0"/>
        </w:trPr>
        <w:tc>
          <w:tcPr>
            <w:shd w:fill="c6d9f1"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B">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le pidió que complete una sopa de letras, creando oraciones con las palabras encontradas. </w:t>
            </w:r>
          </w:p>
        </w:tc>
      </w:tr>
    </w:tbl>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F">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2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cumplió al objetivo del plan, se conocieron actitudes y aptitudes del paciente, se pudo establecer un rapport  con él y se conocieron factores importantes para poder llevar a cabo un proceso psicopedagógico idóneo. </w:t>
            </w:r>
          </w:p>
        </w:tc>
      </w:tr>
    </w:tbl>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El paciente estaba 2 minutos antes de la sesión en la clínica. </w:t>
            </w:r>
          </w:p>
        </w:tc>
      </w:tr>
      <w:tr>
        <w:trPr>
          <w:cantSplit w:val="0"/>
          <w:trHeight w:val="750" w:hRule="atLeast"/>
          <w:tblHeader w:val="0"/>
        </w:trPr>
        <w:tc>
          <w:tcPr>
            <w:shd w:fill="c6d9f1"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A">
            <w:pPr>
              <w:spacing w:after="120" w:before="120" w:lineRule="auto"/>
              <w:rPr>
                <w:rFonts w:ascii="Arial" w:cs="Arial" w:eastAsia="Arial" w:hAnsi="Arial"/>
              </w:rPr>
            </w:pPr>
            <w:r w:rsidDel="00000000" w:rsidR="00000000" w:rsidRPr="00000000">
              <w:rPr>
                <w:rFonts w:ascii="Arial" w:cs="Arial" w:eastAsia="Arial" w:hAnsi="Arial"/>
                <w:rtl w:val="0"/>
              </w:rPr>
              <w:t xml:space="preserve">Se pudieron aplicar varias subpruebas de la prueba ENI-2 y Prolec-R. </w:t>
            </w:r>
          </w:p>
        </w:tc>
      </w:tr>
      <w:tr>
        <w:trPr>
          <w:cantSplit w:val="0"/>
          <w:tblHeader w:val="0"/>
        </w:trPr>
        <w:tc>
          <w:tcPr>
            <w:shd w:fill="c6d9f1"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C">
            <w:pPr>
              <w:spacing w:after="200" w:line="360" w:lineRule="auto"/>
              <w:jc w:val="both"/>
              <w:rPr>
                <w:rFonts w:ascii="Arial" w:cs="Arial" w:eastAsia="Arial" w:hAnsi="Arial"/>
                <w:b w:val="1"/>
              </w:rPr>
            </w:pPr>
            <w:r w:rsidDel="00000000" w:rsidR="00000000" w:rsidRPr="00000000">
              <w:rPr>
                <w:rFonts w:ascii="Arial" w:cs="Arial" w:eastAsia="Arial" w:hAnsi="Arial"/>
                <w:highlight w:val="white"/>
                <w:rtl w:val="0"/>
              </w:rPr>
              <w:t xml:space="preserve">Comprensión y expresión junto con los signos neurológicos blandos y habilidades lectoras. </w:t>
            </w: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F">
            <w:pPr>
              <w:spacing w:after="120" w:before="120" w:line="276" w:lineRule="auto"/>
              <w:rPr>
                <w:rFonts w:ascii="Arial" w:cs="Arial" w:eastAsia="Arial" w:hAnsi="Arial"/>
              </w:rPr>
            </w:pPr>
            <w:r w:rsidDel="00000000" w:rsidR="00000000" w:rsidRPr="00000000">
              <w:rPr>
                <w:rFonts w:ascii="Arial" w:cs="Arial" w:eastAsia="Arial" w:hAnsi="Arial"/>
                <w:rtl w:val="0"/>
              </w:rPr>
              <w:t xml:space="preserve">Manual de aplicación y anotación, Lápiz y borrador.</w:t>
            </w:r>
          </w:p>
        </w:tc>
      </w:tr>
      <w:tr>
        <w:trPr>
          <w:cantSplit w:val="0"/>
          <w:tblHeader w:val="0"/>
        </w:trPr>
        <w:tc>
          <w:tcPr>
            <w:shd w:fill="c6d9f1"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2">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valoración es satisfactoria, se pudo establecer una buena comunicación con el paciente teniendo una buena explicación de las diferentes actividades a realizar. Se mantuvo dinamismo al momento de aplicar las pruebas, se respetaron los tiempos. </w:t>
            </w:r>
          </w:p>
        </w:tc>
      </w:tr>
      <w:tr>
        <w:trPr>
          <w:cantSplit w:val="0"/>
          <w:tblHeader w:val="0"/>
        </w:trPr>
        <w:tc>
          <w:tcPr>
            <w:shd w:fill="c6d9f1"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5">
            <w:pPr>
              <w:spacing w:after="120" w:before="120" w:line="276" w:lineRule="auto"/>
              <w:jc w:val="center"/>
              <w:rPr>
                <w:rFonts w:ascii="Arial" w:cs="Arial" w:eastAsia="Arial" w:hAnsi="Arial"/>
                <w:highlight w:val="white"/>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del Inventario de estrés cotidiano infantil IECI y realizar una despedida con el paciente. </w:t>
            </w:r>
          </w:p>
        </w:tc>
      </w:tr>
      <w:tr>
        <w:trPr>
          <w:cantSplit w:val="0"/>
          <w:tblHeader w:val="0"/>
        </w:trPr>
        <w:tc>
          <w:tcPr>
            <w:shd w:fill="c6d9f1"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0" w:lineRule="auto"/>
              <w:ind w:left="0" w:firstLine="0"/>
              <w:jc w:val="both"/>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rtl w:val="0"/>
                  </w:rPr>
                  <w:t xml:space="preserve">→ El paciente se encontraba más colaborador y entusiasmado por terminar la aplicación de las pruebas. </w:t>
                </w:r>
              </w:sdtContent>
            </w:sdt>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pacing w:after="0" w:afterAutospacing="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El paciente confunde la “R” con la “L” en muchas palabras.</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after="0" w:afterAutospacing="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le dificulta distinguir derecha e izquierda en la comprensión. </w:t>
            </w:r>
          </w:p>
          <w:p w:rsidR="00000000" w:rsidDel="00000000" w:rsidP="00000000" w:rsidRDefault="00000000" w:rsidRPr="00000000" w14:paraId="0000003B">
            <w:pPr>
              <w:numPr>
                <w:ilvl w:val="1"/>
                <w:numId w:val="1"/>
              </w:numPr>
              <w:pBdr>
                <w:top w:space="0" w:sz="0" w:val="nil"/>
                <w:left w:space="0" w:sz="0" w:val="nil"/>
                <w:bottom w:space="0" w:sz="0" w:val="nil"/>
                <w:right w:space="0" w:sz="0" w:val="nil"/>
                <w:between w:space="0" w:sz="0" w:val="nil"/>
              </w:pBdr>
              <w:spacing w:after="0" w:afterAutospacing="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Daba las direcciones correctas pero de manera mucho más coloquial, por ejemplo: “arriba, derecha y ya”. </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0" w:afterAutospacing="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cuanto a la lectura: </w:t>
            </w:r>
          </w:p>
          <w:p w:rsidR="00000000" w:rsidDel="00000000" w:rsidP="00000000" w:rsidRDefault="00000000" w:rsidRPr="00000000" w14:paraId="0000003D">
            <w:pPr>
              <w:numPr>
                <w:ilvl w:val="1"/>
                <w:numId w:val="1"/>
              </w:numPr>
              <w:pBdr>
                <w:top w:space="0" w:sz="0" w:val="nil"/>
                <w:left w:space="0" w:sz="0" w:val="nil"/>
                <w:bottom w:space="0" w:sz="0" w:val="nil"/>
                <w:right w:space="0" w:sz="0" w:val="nil"/>
                <w:between w:space="0" w:sz="0" w:val="nil"/>
              </w:pBdr>
              <w:spacing w:after="0" w:afterAutospacing="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Tiene poca fluidez, en ocasiones debe volver a leer las oraciones. </w:t>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spacing w:after="0" w:afterAutospacing="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Se salta los signos gramaticales (puntos, comas y signos de expresión). </w:t>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spacing w:after="0" w:afterAutospacing="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Comienza a leer la palabra de manera correcta pero la termina por otra ejemplo: “Apreciaban - aprecian” </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spacing w:after="0" w:afterAutospacing="0" w:before="0" w:lineRule="auto"/>
              <w:ind w:left="2160" w:hanging="360"/>
              <w:jc w:val="both"/>
              <w:rPr>
                <w:rFonts w:ascii="Arial" w:cs="Arial" w:eastAsia="Arial" w:hAnsi="Arial"/>
                <w:u w:val="none"/>
              </w:rPr>
            </w:pPr>
            <w:r w:rsidDel="00000000" w:rsidR="00000000" w:rsidRPr="00000000">
              <w:rPr>
                <w:rFonts w:ascii="Arial" w:cs="Arial" w:eastAsia="Arial" w:hAnsi="Arial"/>
                <w:rtl w:val="0"/>
              </w:rPr>
              <w:t xml:space="preserve">Muchas veces eran palabras derivadas pero en otras ocasiones se añadía una letra de más.</w:t>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spacing w:after="0" w:afterAutospacing="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Tiene mayor comprensión escrita que oral. </w:t>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spacing w:after="0" w:afterAutospacing="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En cuanto a las habilidades metalingüísticas </w:t>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spacing w:after="0" w:afterAutospacing="0" w:before="0" w:lineRule="auto"/>
              <w:ind w:left="2160" w:hanging="360"/>
              <w:jc w:val="both"/>
              <w:rPr>
                <w:rFonts w:ascii="Arial" w:cs="Arial" w:eastAsia="Arial" w:hAnsi="Arial"/>
                <w:u w:val="none"/>
              </w:rPr>
            </w:pPr>
            <w:r w:rsidDel="00000000" w:rsidR="00000000" w:rsidRPr="00000000">
              <w:rPr>
                <w:rFonts w:ascii="Arial" w:cs="Arial" w:eastAsia="Arial" w:hAnsi="Arial"/>
                <w:rtl w:val="0"/>
              </w:rPr>
              <w:t xml:space="preserve">En las subpruebas del ENI-2 se demuestra que no logra la unión entre fonema y grafema </w:t>
            </w:r>
          </w:p>
          <w:p w:rsidR="00000000" w:rsidDel="00000000" w:rsidP="00000000" w:rsidRDefault="00000000" w:rsidRPr="00000000" w14:paraId="00000044">
            <w:pPr>
              <w:numPr>
                <w:ilvl w:val="2"/>
                <w:numId w:val="1"/>
              </w:numPr>
              <w:pBdr>
                <w:top w:space="0" w:sz="0" w:val="nil"/>
                <w:left w:space="0" w:sz="0" w:val="nil"/>
                <w:bottom w:space="0" w:sz="0" w:val="nil"/>
                <w:right w:space="0" w:sz="0" w:val="nil"/>
                <w:between w:space="0" w:sz="0" w:val="nil"/>
              </w:pBdr>
              <w:spacing w:after="0" w:afterAutospacing="0" w:before="0" w:lineRule="auto"/>
              <w:ind w:left="2160" w:hanging="360"/>
              <w:jc w:val="both"/>
              <w:rPr>
                <w:rFonts w:ascii="Arial" w:cs="Arial" w:eastAsia="Arial" w:hAnsi="Arial"/>
                <w:u w:val="none"/>
              </w:rPr>
            </w:pPr>
            <w:r w:rsidDel="00000000" w:rsidR="00000000" w:rsidRPr="00000000">
              <w:rPr>
                <w:rFonts w:ascii="Arial" w:cs="Arial" w:eastAsia="Arial" w:hAnsi="Arial"/>
                <w:rtl w:val="0"/>
              </w:rPr>
              <w:t xml:space="preserve">En esta ocasión el el Prolec-R, confunde mucho las letras con sonidos similares “G” por “J” y “S” por “Z”. </w:t>
            </w:r>
          </w:p>
          <w:p w:rsidR="00000000" w:rsidDel="00000000" w:rsidP="00000000" w:rsidRDefault="00000000" w:rsidRPr="00000000" w14:paraId="00000045">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Al momento de aplicar la lectura de palabras y pseudopalabras lo hizo de manera rápida por lo que en ocasiones se saltaba letras dentro de la palabra. Cuando es una lectura lenta, logra pronunciar todas las letras, esto demuestra su poca fluidez verbal. </w:t>
            </w:r>
          </w:p>
        </w:tc>
      </w:tr>
      <w:tr>
        <w:trPr>
          <w:cantSplit w:val="0"/>
          <w:tblHeader w:val="0"/>
        </w:trPr>
        <w:tc>
          <w:tcPr>
            <w:shd w:fill="c6d9f1"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8">
            <w:pPr>
              <w:spacing w:after="120" w:before="120" w:lineRule="auto"/>
              <w:jc w:val="both"/>
              <w:rPr>
                <w:rFonts w:ascii="Arial" w:cs="Arial" w:eastAsia="Arial" w:hAnsi="Arial"/>
              </w:rPr>
            </w:pPr>
            <w:bookmarkStart w:colFirst="0" w:colLast="0" w:name="_heading=h.30j0zll" w:id="2"/>
            <w:bookmarkEnd w:id="2"/>
            <w:r w:rsidDel="00000000" w:rsidR="00000000" w:rsidRPr="00000000">
              <w:rPr>
                <w:rFonts w:ascii="Arial" w:cs="Arial" w:eastAsia="Arial" w:hAnsi="Arial"/>
                <w:rtl w:val="0"/>
              </w:rPr>
              <w:t xml:space="preserve">Conocer de qué manera poder aplicar la mayor parte de las subpruebas de la prueba sin atormentar al paciente y darle el tiempo de descanso. Es importante aplicar las pruebas pero es aún más importante que el paciente no se sienta abrumado por el contenido. </w:t>
            </w:r>
          </w:p>
        </w:tc>
      </w:tr>
    </w:tbl>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-680073</wp:posOffset>
          </wp:positionH>
          <wp:positionV relativeFrom="paragraph">
            <wp:posOffset>-326378</wp:posOffset>
          </wp:positionV>
          <wp:extent cx="2261870" cy="774065"/>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LNEuxIWam0f6gjHa8REAYbi/qA==">AMUW2mVcsEqY+iO7eixB8wG6CpQnJsshK/3mt9O46swZgHp+tSKo6Q4oOJc1BkPsVRNajXKabtMGjRRLHUgem2YUT/nqJDytlQL12VubTEDaAnP14V/C5IJ9W8H/itW+w834oIS5nrlcRnzM3OkF06qzA2CO84I+BzrNJyxZcW6BqYB1B5W4StuIb6WLoxf6oXnhYkQ5bWPNBHGuu+Lwv5GWo9GVCGukl7ceqxcCxkROTNn/N7HrQUc=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