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1"/>
        <w:tblpPr w:leftFromText="141" w:rightFromText="141" w:vertAnchor="text" w:horzAnchor="margin" w:tblpXSpec="right" w:tblpY="152"/>
        <w:tblOverlap w:val="never"/>
        <w:tblW w:w="0" w:type="auto"/>
        <w:tblLook w:val="04A0" w:firstRow="1" w:lastRow="0" w:firstColumn="1" w:lastColumn="0" w:noHBand="0" w:noVBand="1"/>
      </w:tblPr>
      <w:tblGrid>
        <w:gridCol w:w="2596"/>
      </w:tblGrid>
      <w:tr w:rsidR="007C5EE0" w:rsidRPr="007C5EE0" w:rsidTr="007C5EE0">
        <w:tc>
          <w:tcPr>
            <w:tcW w:w="2596" w:type="dxa"/>
          </w:tcPr>
          <w:p w:rsidR="007C5EE0" w:rsidRPr="007C5EE0" w:rsidRDefault="007C5EE0" w:rsidP="008208D4">
            <w:pPr>
              <w:spacing w:before="120" w:after="120"/>
              <w:rPr>
                <w:rFonts w:ascii="Arial" w:eastAsia="Calibri" w:hAnsi="Arial" w:cs="Times New Roman"/>
                <w:b/>
                <w:iCs/>
                <w:lang w:val="es-GT"/>
              </w:rPr>
            </w:pPr>
            <w:r w:rsidRPr="007C5EE0">
              <w:rPr>
                <w:rFonts w:ascii="Arial" w:eastAsia="Calibri" w:hAnsi="Arial" w:cs="Times New Roman"/>
                <w:b/>
                <w:iCs/>
                <w:lang w:val="es-GT"/>
              </w:rPr>
              <w:t xml:space="preserve">Semestre: </w:t>
            </w:r>
            <w:r w:rsidR="008208D4">
              <w:rPr>
                <w:rFonts w:ascii="Arial" w:eastAsia="Calibri" w:hAnsi="Arial" w:cs="Times New Roman"/>
                <w:b/>
                <w:iCs/>
                <w:lang w:val="es-GT"/>
              </w:rPr>
              <w:t>Octavo</w:t>
            </w:r>
          </w:p>
        </w:tc>
      </w:tr>
      <w:tr w:rsidR="007C5EE0" w:rsidRPr="007C5EE0" w:rsidTr="007C5EE0">
        <w:tc>
          <w:tcPr>
            <w:tcW w:w="2596" w:type="dxa"/>
            <w:shd w:val="clear" w:color="auto" w:fill="AEAAAA" w:themeFill="background2" w:themeFillShade="BF"/>
          </w:tcPr>
          <w:p w:rsidR="007C5EE0" w:rsidRPr="007C5EE0" w:rsidRDefault="007C5EE0" w:rsidP="007C5EE0">
            <w:pPr>
              <w:spacing w:before="120" w:after="120"/>
              <w:jc w:val="center"/>
              <w:rPr>
                <w:rFonts w:ascii="Arial" w:eastAsia="Calibri" w:hAnsi="Arial" w:cs="Times New Roman"/>
                <w:b/>
                <w:iCs/>
                <w:lang w:val="es-GT"/>
              </w:rPr>
            </w:pPr>
            <w:r w:rsidRPr="007C5EE0">
              <w:rPr>
                <w:rFonts w:ascii="Arial" w:eastAsia="Calibri" w:hAnsi="Arial" w:cs="Times New Roman"/>
                <w:b/>
                <w:iCs/>
                <w:lang w:val="es-GT"/>
              </w:rPr>
              <w:t>Profesora encargada:</w:t>
            </w:r>
          </w:p>
        </w:tc>
      </w:tr>
      <w:tr w:rsidR="007C5EE0" w:rsidRPr="007C5EE0" w:rsidTr="007C5EE0">
        <w:tc>
          <w:tcPr>
            <w:tcW w:w="2596" w:type="dxa"/>
          </w:tcPr>
          <w:p w:rsidR="007C5EE0" w:rsidRPr="007C5EE0" w:rsidRDefault="007C5EE0" w:rsidP="007C5EE0">
            <w:pPr>
              <w:spacing w:before="120" w:after="120"/>
              <w:jc w:val="center"/>
              <w:rPr>
                <w:rFonts w:ascii="Arial" w:eastAsia="Calibri" w:hAnsi="Arial" w:cs="Times New Roman"/>
                <w:b/>
                <w:iCs/>
                <w:lang w:val="es-GT"/>
              </w:rPr>
            </w:pPr>
            <w:r w:rsidRPr="007C5EE0">
              <w:rPr>
                <w:rFonts w:ascii="Arial" w:eastAsia="Calibri" w:hAnsi="Arial" w:cs="Times New Roman"/>
                <w:b/>
                <w:iCs/>
                <w:lang w:val="es-GT"/>
              </w:rPr>
              <w:t>Licenciada Dalia Valladares Aquino</w:t>
            </w:r>
          </w:p>
        </w:tc>
      </w:tr>
    </w:tbl>
    <w:p w:rsidR="007C5EE0" w:rsidRPr="007C5EE0" w:rsidRDefault="007C5EE0" w:rsidP="007C5EE0">
      <w:pPr>
        <w:pStyle w:val="FENC"/>
        <w:rPr>
          <w:rStyle w:val="nfasis"/>
          <w:i w:val="0"/>
        </w:rPr>
      </w:pPr>
      <w:r w:rsidRPr="007C5EE0">
        <w:rPr>
          <w:rStyle w:val="nfasis"/>
          <w:b/>
          <w:i w:val="0"/>
        </w:rPr>
        <w:t xml:space="preserve">Nombre del </w:t>
      </w:r>
      <w:r>
        <w:rPr>
          <w:rStyle w:val="nfasis"/>
          <w:b/>
          <w:i w:val="0"/>
        </w:rPr>
        <w:t>evaluador</w:t>
      </w:r>
      <w:r w:rsidRPr="007C5EE0">
        <w:rPr>
          <w:rStyle w:val="nfasis"/>
          <w:b/>
          <w:i w:val="0"/>
        </w:rPr>
        <w:t>:</w:t>
      </w:r>
      <w:r w:rsidRPr="007C5EE0">
        <w:rPr>
          <w:rStyle w:val="nfasis"/>
          <w:i w:val="0"/>
        </w:rPr>
        <w:t xml:space="preserve"> </w:t>
      </w:r>
      <w:r w:rsidR="00052EFE">
        <w:rPr>
          <w:rStyle w:val="nfasis"/>
          <w:i w:val="0"/>
        </w:rPr>
        <w:t>David Bollat Spillari</w:t>
      </w:r>
    </w:p>
    <w:p w:rsidR="007C5EE0" w:rsidRPr="007C5EE0" w:rsidRDefault="007C5EE0" w:rsidP="007C5EE0">
      <w:pPr>
        <w:pStyle w:val="FENC"/>
        <w:rPr>
          <w:rStyle w:val="nfasis"/>
          <w:i w:val="0"/>
        </w:rPr>
      </w:pPr>
      <w:r w:rsidRPr="007C5EE0">
        <w:rPr>
          <w:rStyle w:val="nfasis"/>
          <w:b/>
          <w:i w:val="0"/>
        </w:rPr>
        <w:t>Nombre del paciente:</w:t>
      </w:r>
      <w:r w:rsidRPr="007C5EE0">
        <w:rPr>
          <w:rStyle w:val="nfasis"/>
          <w:i w:val="0"/>
        </w:rPr>
        <w:t xml:space="preserve"> </w:t>
      </w:r>
      <w:r w:rsidR="008208D4">
        <w:rPr>
          <w:rStyle w:val="nfasis"/>
          <w:i w:val="0"/>
        </w:rPr>
        <w:t>A.P.U</w:t>
      </w:r>
      <w:r w:rsidR="00052EFE">
        <w:rPr>
          <w:rStyle w:val="nfasis"/>
          <w:i w:val="0"/>
        </w:rPr>
        <w:t>.</w:t>
      </w:r>
    </w:p>
    <w:p w:rsidR="007C5EE0" w:rsidRDefault="007C5EE0" w:rsidP="007C5EE0">
      <w:pPr>
        <w:pStyle w:val="FENC"/>
        <w:rPr>
          <w:rStyle w:val="nfasis"/>
          <w:i w:val="0"/>
        </w:rPr>
      </w:pPr>
      <w:r>
        <w:rPr>
          <w:rStyle w:val="nfasis"/>
          <w:b/>
          <w:i w:val="0"/>
        </w:rPr>
        <w:t xml:space="preserve">Fecha </w:t>
      </w:r>
      <w:r w:rsidRPr="007C5EE0">
        <w:rPr>
          <w:rStyle w:val="nfasis"/>
          <w:b/>
          <w:i w:val="0"/>
        </w:rPr>
        <w:t xml:space="preserve">de la </w:t>
      </w:r>
      <w:r>
        <w:rPr>
          <w:rStyle w:val="nfasis"/>
          <w:b/>
          <w:i w:val="0"/>
        </w:rPr>
        <w:t>evaluación</w:t>
      </w:r>
      <w:r w:rsidRPr="007C5EE0">
        <w:rPr>
          <w:rStyle w:val="nfasis"/>
          <w:b/>
          <w:i w:val="0"/>
        </w:rPr>
        <w:t>:</w:t>
      </w:r>
      <w:r w:rsidRPr="007C5EE0">
        <w:rPr>
          <w:rStyle w:val="nfasis"/>
          <w:i w:val="0"/>
        </w:rPr>
        <w:t xml:space="preserve"> </w:t>
      </w:r>
      <w:r w:rsidR="008208D4">
        <w:rPr>
          <w:rStyle w:val="nfasis"/>
          <w:i w:val="0"/>
        </w:rPr>
        <w:t>sábado</w:t>
      </w:r>
      <w:r w:rsidR="00512C97">
        <w:rPr>
          <w:rStyle w:val="nfasis"/>
          <w:i w:val="0"/>
        </w:rPr>
        <w:t xml:space="preserve"> </w:t>
      </w:r>
      <w:r w:rsidR="005E57A6">
        <w:rPr>
          <w:rStyle w:val="nfasis"/>
          <w:i w:val="0"/>
        </w:rPr>
        <w:t>21</w:t>
      </w:r>
      <w:bookmarkStart w:id="0" w:name="_GoBack"/>
      <w:bookmarkEnd w:id="0"/>
      <w:r w:rsidR="00052EFE">
        <w:rPr>
          <w:rStyle w:val="nfasis"/>
          <w:i w:val="0"/>
        </w:rPr>
        <w:t xml:space="preserve"> de </w:t>
      </w:r>
      <w:r w:rsidR="008208D4">
        <w:rPr>
          <w:rStyle w:val="nfasis"/>
          <w:i w:val="0"/>
        </w:rPr>
        <w:t>agosto</w:t>
      </w:r>
      <w:r w:rsidR="00052EFE">
        <w:rPr>
          <w:rStyle w:val="nfasis"/>
          <w:i w:val="0"/>
        </w:rPr>
        <w:t xml:space="preserve"> del </w:t>
      </w:r>
      <w:r w:rsidR="008208D4">
        <w:rPr>
          <w:rStyle w:val="nfasis"/>
          <w:i w:val="0"/>
        </w:rPr>
        <w:t>2021</w:t>
      </w:r>
    </w:p>
    <w:p w:rsidR="0069421B" w:rsidRDefault="0069421B" w:rsidP="007C5EE0">
      <w:pPr>
        <w:pStyle w:val="FENC"/>
        <w:rPr>
          <w:rStyle w:val="nfasis"/>
          <w:i w:val="0"/>
        </w:rPr>
      </w:pPr>
    </w:p>
    <w:p w:rsidR="00C76187" w:rsidRPr="007C5EE0" w:rsidRDefault="00C76187" w:rsidP="007C5EE0">
      <w:pPr>
        <w:pStyle w:val="FENC"/>
        <w:rPr>
          <w:rStyle w:val="nfasis"/>
          <w:i w:val="0"/>
        </w:rPr>
      </w:pPr>
    </w:p>
    <w:p w:rsidR="000C5E0A" w:rsidRDefault="00C76187" w:rsidP="000C5E0A">
      <w:pPr>
        <w:tabs>
          <w:tab w:val="left" w:pos="4900"/>
        </w:tabs>
        <w:spacing w:after="0" w:line="360" w:lineRule="auto"/>
        <w:contextualSpacing/>
        <w:jc w:val="both"/>
        <w:rPr>
          <w:rFonts w:ascii="Arial" w:eastAsia="Calibri" w:hAnsi="Arial" w:cs="Arial"/>
          <w:b/>
          <w:color w:val="000000"/>
          <w:sz w:val="28"/>
          <w:szCs w:val="24"/>
          <w:lang w:val="es-GT"/>
        </w:rPr>
      </w:pPr>
      <w:r>
        <w:rPr>
          <w:rFonts w:ascii="Arial" w:eastAsia="Calibri" w:hAnsi="Arial" w:cs="Arial"/>
          <w:b/>
          <w:color w:val="000000"/>
          <w:sz w:val="24"/>
          <w:szCs w:val="24"/>
          <w:lang w:val="es-GT"/>
        </w:rPr>
        <w:t xml:space="preserve">INVENTARIO DE </w:t>
      </w:r>
      <w:r w:rsidR="006C3AF8">
        <w:rPr>
          <w:rFonts w:ascii="Arial" w:eastAsia="Calibri" w:hAnsi="Arial" w:cs="Arial"/>
          <w:b/>
          <w:color w:val="000000"/>
          <w:sz w:val="24"/>
          <w:szCs w:val="24"/>
          <w:lang w:val="es-GT"/>
        </w:rPr>
        <w:t>ANSIEDAD DE BECK (BA</w:t>
      </w:r>
      <w:r>
        <w:rPr>
          <w:rFonts w:ascii="Arial" w:eastAsia="Calibri" w:hAnsi="Arial" w:cs="Arial"/>
          <w:b/>
          <w:color w:val="000000"/>
          <w:sz w:val="24"/>
          <w:szCs w:val="24"/>
          <w:lang w:val="es-GT"/>
        </w:rPr>
        <w:t>I)</w:t>
      </w:r>
      <w:r w:rsidR="000C5E0A" w:rsidRPr="000C5E0A">
        <w:rPr>
          <w:rFonts w:ascii="Arial" w:eastAsia="Calibri" w:hAnsi="Arial" w:cs="Arial"/>
          <w:b/>
          <w:color w:val="000000"/>
          <w:sz w:val="28"/>
          <w:szCs w:val="24"/>
          <w:lang w:val="es-GT"/>
        </w:rPr>
        <w:tab/>
      </w:r>
    </w:p>
    <w:tbl>
      <w:tblPr>
        <w:tblW w:w="8838" w:type="dxa"/>
        <w:tblBorders>
          <w:top w:val="single" w:sz="4" w:space="0" w:color="7F7F7F"/>
          <w:left w:val="nil"/>
          <w:bottom w:val="nil"/>
          <w:right w:val="nil"/>
          <w:insideH w:val="nil"/>
          <w:insideV w:val="nil"/>
        </w:tblBorders>
        <w:tblLayout w:type="fixed"/>
        <w:tblLook w:val="0400" w:firstRow="0" w:lastRow="0" w:firstColumn="0" w:lastColumn="0" w:noHBand="0" w:noVBand="1"/>
      </w:tblPr>
      <w:tblGrid>
        <w:gridCol w:w="4774"/>
        <w:gridCol w:w="4064"/>
      </w:tblGrid>
      <w:tr w:rsidR="00C758C9" w:rsidTr="00E608E2">
        <w:trPr>
          <w:trHeight w:val="934"/>
        </w:trPr>
        <w:tc>
          <w:tcPr>
            <w:tcW w:w="8838" w:type="dxa"/>
            <w:gridSpan w:val="2"/>
            <w:tcBorders>
              <w:bottom w:val="single" w:sz="4" w:space="0" w:color="000000"/>
            </w:tcBorders>
            <w:vAlign w:val="center"/>
          </w:tcPr>
          <w:p w:rsidR="00C758C9" w:rsidRDefault="00C758C9" w:rsidP="00147B68">
            <w:pPr>
              <w:keepLines/>
              <w:pBdr>
                <w:top w:val="nil"/>
                <w:left w:val="nil"/>
                <w:bottom w:val="nil"/>
                <w:right w:val="nil"/>
                <w:between w:val="nil"/>
              </w:pBdr>
              <w:spacing w:line="360" w:lineRule="auto"/>
              <w:jc w:val="both"/>
              <w:rPr>
                <w:rFonts w:ascii="Arial" w:eastAsia="Arial" w:hAnsi="Arial" w:cs="Arial"/>
                <w:color w:val="000000"/>
              </w:rPr>
            </w:pPr>
            <w:r w:rsidRPr="00602C74">
              <w:rPr>
                <w:rFonts w:ascii="Arial" w:eastAsia="Arial" w:hAnsi="Arial" w:cs="Arial"/>
                <w:b/>
                <w:sz w:val="21"/>
                <w:szCs w:val="21"/>
              </w:rPr>
              <w:t>Inve</w:t>
            </w:r>
            <w:r>
              <w:rPr>
                <w:rFonts w:ascii="Arial" w:eastAsia="Arial" w:hAnsi="Arial" w:cs="Arial"/>
                <w:b/>
                <w:sz w:val="21"/>
                <w:szCs w:val="21"/>
              </w:rPr>
              <w:t>ntario de Ansiedad de Beck (BAI)</w:t>
            </w:r>
            <w:r w:rsidRPr="00602C74">
              <w:rPr>
                <w:rFonts w:ascii="Arial" w:eastAsia="Arial" w:hAnsi="Arial" w:cs="Arial"/>
                <w:b/>
                <w:sz w:val="21"/>
                <w:szCs w:val="21"/>
              </w:rPr>
              <w:t>:</w:t>
            </w:r>
            <w:r w:rsidRPr="00602C74">
              <w:rPr>
                <w:rFonts w:ascii="Arial" w:eastAsia="Arial" w:hAnsi="Arial" w:cs="Arial"/>
                <w:sz w:val="21"/>
                <w:szCs w:val="21"/>
              </w:rPr>
              <w:t xml:space="preserve"> inventario</w:t>
            </w:r>
            <w:r w:rsidR="006635E9">
              <w:rPr>
                <w:rFonts w:ascii="Arial" w:eastAsia="Arial" w:hAnsi="Arial" w:cs="Arial"/>
                <w:sz w:val="21"/>
                <w:szCs w:val="21"/>
              </w:rPr>
              <w:t xml:space="preserve"> </w:t>
            </w:r>
            <w:proofErr w:type="spellStart"/>
            <w:r w:rsidR="00147B68">
              <w:rPr>
                <w:rFonts w:ascii="Arial" w:eastAsia="Arial" w:hAnsi="Arial" w:cs="Arial"/>
                <w:sz w:val="21"/>
                <w:szCs w:val="21"/>
              </w:rPr>
              <w:t>autoaplicado</w:t>
            </w:r>
            <w:proofErr w:type="spellEnd"/>
            <w:r w:rsidR="00147B68">
              <w:rPr>
                <w:rFonts w:ascii="Arial" w:eastAsia="Arial" w:hAnsi="Arial" w:cs="Arial"/>
                <w:sz w:val="21"/>
                <w:szCs w:val="21"/>
              </w:rPr>
              <w:t xml:space="preserve"> </w:t>
            </w:r>
            <w:r w:rsidR="006635E9">
              <w:rPr>
                <w:rFonts w:ascii="Arial" w:eastAsia="Arial" w:hAnsi="Arial" w:cs="Arial"/>
                <w:sz w:val="21"/>
                <w:szCs w:val="21"/>
              </w:rPr>
              <w:t xml:space="preserve">que consta de 21 reactivos </w:t>
            </w:r>
            <w:r w:rsidR="00147B68" w:rsidRPr="00147B68">
              <w:rPr>
                <w:rFonts w:ascii="Arial" w:eastAsia="Arial" w:hAnsi="Arial" w:cs="Arial"/>
                <w:sz w:val="21"/>
                <w:szCs w:val="21"/>
              </w:rPr>
              <w:t>que describen diversos síntomas de ansiedad. Se centra en los aspectos físicos relacionados con la ansiedad, estando sobrerrepresentado este componente. Los elementos que lo forman están claramente relacionados con los cr</w:t>
            </w:r>
            <w:r w:rsidR="00147B68">
              <w:rPr>
                <w:rFonts w:ascii="Arial" w:eastAsia="Arial" w:hAnsi="Arial" w:cs="Arial"/>
                <w:sz w:val="21"/>
                <w:szCs w:val="21"/>
              </w:rPr>
              <w:t>iterios diagnósticos del DSM-IV</w:t>
            </w:r>
            <w:r w:rsidRPr="00602C74">
              <w:rPr>
                <w:rFonts w:ascii="Arial" w:eastAsia="Arial" w:hAnsi="Arial" w:cs="Arial"/>
                <w:sz w:val="21"/>
                <w:szCs w:val="21"/>
              </w:rPr>
              <w:t xml:space="preserve"> </w:t>
            </w:r>
            <w:sdt>
              <w:sdtPr>
                <w:rPr>
                  <w:rFonts w:ascii="Arial" w:eastAsia="Arial" w:hAnsi="Arial" w:cs="Arial"/>
                  <w:sz w:val="21"/>
                  <w:szCs w:val="21"/>
                </w:rPr>
                <w:id w:val="831175707"/>
                <w:citation/>
              </w:sdtPr>
              <w:sdtEndPr/>
              <w:sdtContent>
                <w:r w:rsidRPr="00602C74">
                  <w:rPr>
                    <w:rFonts w:ascii="Arial" w:eastAsia="Arial" w:hAnsi="Arial" w:cs="Arial"/>
                    <w:sz w:val="21"/>
                    <w:szCs w:val="21"/>
                  </w:rPr>
                  <w:fldChar w:fldCharType="begin"/>
                </w:r>
                <w:r w:rsidRPr="00602C74">
                  <w:rPr>
                    <w:rFonts w:ascii="Arial" w:eastAsia="Arial" w:hAnsi="Arial" w:cs="Arial"/>
                    <w:sz w:val="21"/>
                    <w:szCs w:val="21"/>
                  </w:rPr>
                  <w:instrText xml:space="preserve"> CITATION Ban15 \l 1033 </w:instrText>
                </w:r>
                <w:r w:rsidRPr="00602C74">
                  <w:rPr>
                    <w:rFonts w:ascii="Arial" w:eastAsia="Arial" w:hAnsi="Arial" w:cs="Arial"/>
                    <w:sz w:val="21"/>
                    <w:szCs w:val="21"/>
                  </w:rPr>
                  <w:fldChar w:fldCharType="separate"/>
                </w:r>
                <w:r w:rsidRPr="00602C74">
                  <w:rPr>
                    <w:rFonts w:ascii="Arial" w:eastAsia="Arial" w:hAnsi="Arial" w:cs="Arial"/>
                    <w:noProof/>
                    <w:sz w:val="21"/>
                    <w:szCs w:val="21"/>
                  </w:rPr>
                  <w:t>(Banco de Instrumentos y Metodologías en Salud Mental de España, 2015)</w:t>
                </w:r>
                <w:r w:rsidRPr="00602C74">
                  <w:rPr>
                    <w:rFonts w:ascii="Arial" w:eastAsia="Arial" w:hAnsi="Arial" w:cs="Arial"/>
                    <w:sz w:val="21"/>
                    <w:szCs w:val="21"/>
                  </w:rPr>
                  <w:fldChar w:fldCharType="end"/>
                </w:r>
              </w:sdtContent>
            </w:sdt>
            <w:r w:rsidRPr="00602C74">
              <w:rPr>
                <w:rFonts w:ascii="Arial" w:eastAsia="Arial" w:hAnsi="Arial" w:cs="Arial"/>
                <w:sz w:val="21"/>
                <w:szCs w:val="21"/>
              </w:rPr>
              <w:t>.</w:t>
            </w:r>
            <w:r w:rsidR="00147B68">
              <w:t xml:space="preserve"> </w:t>
            </w:r>
          </w:p>
        </w:tc>
      </w:tr>
      <w:tr w:rsidR="00C758C9" w:rsidTr="00E608E2">
        <w:trPr>
          <w:trHeight w:val="470"/>
        </w:trPr>
        <w:tc>
          <w:tcPr>
            <w:tcW w:w="4774" w:type="dxa"/>
            <w:tcBorders>
              <w:top w:val="single" w:sz="4" w:space="0" w:color="000000"/>
              <w:bottom w:val="single" w:sz="4" w:space="0" w:color="000000"/>
            </w:tcBorders>
            <w:vAlign w:val="center"/>
          </w:tcPr>
          <w:p w:rsidR="00C758C9" w:rsidRDefault="00C758C9" w:rsidP="00E608E2">
            <w:pPr>
              <w:keepLines/>
              <w:pBdr>
                <w:top w:val="nil"/>
                <w:left w:val="nil"/>
                <w:bottom w:val="nil"/>
                <w:right w:val="nil"/>
                <w:between w:val="nil"/>
              </w:pBdr>
              <w:spacing w:line="360" w:lineRule="auto"/>
              <w:jc w:val="center"/>
              <w:rPr>
                <w:rFonts w:ascii="Arial" w:eastAsia="Arial" w:hAnsi="Arial" w:cs="Arial"/>
                <w:b/>
                <w:color w:val="000000"/>
              </w:rPr>
            </w:pPr>
            <w:r>
              <w:rPr>
                <w:rFonts w:ascii="Arial" w:eastAsia="Arial" w:hAnsi="Arial" w:cs="Arial"/>
                <w:b/>
                <w:color w:val="000000"/>
              </w:rPr>
              <w:t>Puntaje Total</w:t>
            </w:r>
          </w:p>
        </w:tc>
        <w:tc>
          <w:tcPr>
            <w:tcW w:w="4064" w:type="dxa"/>
            <w:tcBorders>
              <w:top w:val="single" w:sz="4" w:space="0" w:color="000000"/>
              <w:bottom w:val="single" w:sz="4" w:space="0" w:color="000000"/>
            </w:tcBorders>
            <w:vAlign w:val="center"/>
          </w:tcPr>
          <w:p w:rsidR="00C758C9" w:rsidRDefault="00C758C9" w:rsidP="00E608E2">
            <w:pPr>
              <w:keepLines/>
              <w:pBdr>
                <w:top w:val="nil"/>
                <w:left w:val="nil"/>
                <w:bottom w:val="nil"/>
                <w:right w:val="nil"/>
                <w:between w:val="nil"/>
              </w:pBdr>
              <w:spacing w:line="360" w:lineRule="auto"/>
              <w:jc w:val="center"/>
              <w:rPr>
                <w:rFonts w:ascii="Arial" w:eastAsia="Arial" w:hAnsi="Arial" w:cs="Arial"/>
                <w:b/>
                <w:color w:val="000000"/>
              </w:rPr>
            </w:pPr>
            <w:r>
              <w:rPr>
                <w:rFonts w:ascii="Arial" w:eastAsia="Arial" w:hAnsi="Arial" w:cs="Arial"/>
                <w:b/>
                <w:color w:val="000000"/>
              </w:rPr>
              <w:t>Valoración</w:t>
            </w:r>
          </w:p>
        </w:tc>
      </w:tr>
      <w:tr w:rsidR="00C758C9" w:rsidTr="00E608E2">
        <w:trPr>
          <w:trHeight w:val="423"/>
        </w:trPr>
        <w:tc>
          <w:tcPr>
            <w:tcW w:w="4774" w:type="dxa"/>
            <w:tcBorders>
              <w:top w:val="single" w:sz="4" w:space="0" w:color="000000"/>
              <w:bottom w:val="single" w:sz="4" w:space="0" w:color="000000"/>
            </w:tcBorders>
            <w:shd w:val="clear" w:color="auto" w:fill="auto"/>
            <w:vAlign w:val="center"/>
          </w:tcPr>
          <w:p w:rsidR="00C758C9" w:rsidRDefault="00C758C9" w:rsidP="00C758C9">
            <w:pPr>
              <w:keepLines/>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34</w:t>
            </w:r>
          </w:p>
        </w:tc>
        <w:tc>
          <w:tcPr>
            <w:tcW w:w="4064" w:type="dxa"/>
            <w:tcBorders>
              <w:top w:val="single" w:sz="4" w:space="0" w:color="000000"/>
              <w:bottom w:val="single" w:sz="4" w:space="0" w:color="000000"/>
            </w:tcBorders>
            <w:shd w:val="clear" w:color="auto" w:fill="auto"/>
            <w:vAlign w:val="center"/>
          </w:tcPr>
          <w:p w:rsidR="00C758C9" w:rsidRDefault="00C758C9" w:rsidP="00C758C9">
            <w:pPr>
              <w:keepLines/>
              <w:pBdr>
                <w:top w:val="nil"/>
                <w:left w:val="nil"/>
                <w:bottom w:val="nil"/>
                <w:right w:val="nil"/>
                <w:between w:val="nil"/>
              </w:pBdr>
              <w:spacing w:line="360" w:lineRule="auto"/>
              <w:jc w:val="center"/>
              <w:rPr>
                <w:rFonts w:ascii="Arial" w:eastAsia="Arial" w:hAnsi="Arial" w:cs="Arial"/>
                <w:color w:val="000000"/>
              </w:rPr>
            </w:pPr>
            <w:r>
              <w:rPr>
                <w:rFonts w:ascii="Arial" w:eastAsia="Arial" w:hAnsi="Arial" w:cs="Arial"/>
                <w:color w:val="000000"/>
              </w:rPr>
              <w:t>Ansiedad Moderada</w:t>
            </w:r>
          </w:p>
        </w:tc>
      </w:tr>
    </w:tbl>
    <w:p w:rsidR="000C5E0A" w:rsidRPr="000C5E0A" w:rsidRDefault="000C5E0A" w:rsidP="000C5E0A">
      <w:pPr>
        <w:spacing w:after="0" w:line="360" w:lineRule="auto"/>
        <w:jc w:val="both"/>
        <w:rPr>
          <w:rFonts w:ascii="Arial" w:eastAsia="Calibri" w:hAnsi="Arial" w:cs="Arial"/>
          <w:color w:val="000000"/>
          <w:szCs w:val="24"/>
          <w:lang w:val="es-GT"/>
        </w:rPr>
      </w:pPr>
    </w:p>
    <w:p w:rsidR="00181BD5" w:rsidRDefault="000C5E0A" w:rsidP="007C5EE0">
      <w:pPr>
        <w:spacing w:before="120" w:after="120" w:line="360" w:lineRule="auto"/>
        <w:jc w:val="both"/>
        <w:rPr>
          <w:rFonts w:ascii="Arial" w:eastAsia="Calibri" w:hAnsi="Arial" w:cs="Arial"/>
          <w:color w:val="000000"/>
          <w:szCs w:val="24"/>
          <w:lang w:val="es-GT"/>
        </w:rPr>
      </w:pPr>
      <w:r w:rsidRPr="000C5E0A">
        <w:rPr>
          <w:rFonts w:ascii="Arial" w:eastAsia="Calibri" w:hAnsi="Arial" w:cs="Arial"/>
          <w:color w:val="000000"/>
          <w:szCs w:val="24"/>
          <w:lang w:val="es-GT"/>
        </w:rPr>
        <w:t>De acuerdo a los resultados obtenidos en la prueba de</w:t>
      </w:r>
      <w:r w:rsidR="00181BD5">
        <w:rPr>
          <w:rFonts w:ascii="Arial" w:eastAsia="Calibri" w:hAnsi="Arial" w:cs="Arial"/>
          <w:color w:val="000000"/>
          <w:szCs w:val="24"/>
          <w:lang w:val="es-GT"/>
        </w:rPr>
        <w:t xml:space="preserve">l inventario de </w:t>
      </w:r>
      <w:r w:rsidR="0090498E">
        <w:rPr>
          <w:rFonts w:ascii="Arial" w:eastAsia="Calibri" w:hAnsi="Arial" w:cs="Arial"/>
          <w:color w:val="000000"/>
          <w:szCs w:val="24"/>
          <w:lang w:val="es-GT"/>
        </w:rPr>
        <w:t>ansiedad de Beck (BA</w:t>
      </w:r>
      <w:r w:rsidR="00181BD5">
        <w:rPr>
          <w:rFonts w:ascii="Arial" w:eastAsia="Calibri" w:hAnsi="Arial" w:cs="Arial"/>
          <w:color w:val="000000"/>
          <w:szCs w:val="24"/>
          <w:lang w:val="es-GT"/>
        </w:rPr>
        <w:t>I), la paciente ev</w:t>
      </w:r>
      <w:r w:rsidR="008D6A94">
        <w:rPr>
          <w:rFonts w:ascii="Arial" w:eastAsia="Calibri" w:hAnsi="Arial" w:cs="Arial"/>
          <w:color w:val="000000"/>
          <w:szCs w:val="24"/>
          <w:lang w:val="es-GT"/>
        </w:rPr>
        <w:t xml:space="preserve">aluada presenta una </w:t>
      </w:r>
      <w:r w:rsidR="0090498E">
        <w:rPr>
          <w:rFonts w:ascii="Arial" w:eastAsia="Calibri" w:hAnsi="Arial" w:cs="Arial"/>
          <w:color w:val="000000"/>
          <w:szCs w:val="24"/>
          <w:lang w:val="es-GT"/>
        </w:rPr>
        <w:t xml:space="preserve">ansiedad </w:t>
      </w:r>
      <w:r w:rsidR="008208D4">
        <w:rPr>
          <w:rFonts w:ascii="Arial" w:eastAsia="Calibri" w:hAnsi="Arial" w:cs="Arial"/>
          <w:color w:val="000000"/>
          <w:szCs w:val="24"/>
          <w:lang w:val="es-GT"/>
        </w:rPr>
        <w:t>moderada</w:t>
      </w:r>
      <w:r w:rsidR="00181BD5">
        <w:rPr>
          <w:rFonts w:ascii="Arial" w:eastAsia="Calibri" w:hAnsi="Arial" w:cs="Arial"/>
          <w:color w:val="000000"/>
          <w:szCs w:val="24"/>
          <w:lang w:val="es-GT"/>
        </w:rPr>
        <w:t xml:space="preserve">, obteniendo una puntuación de </w:t>
      </w:r>
      <w:r w:rsidR="003714D8">
        <w:rPr>
          <w:rFonts w:ascii="Arial" w:eastAsia="Calibri" w:hAnsi="Arial" w:cs="Arial"/>
          <w:color w:val="000000"/>
          <w:szCs w:val="24"/>
          <w:lang w:val="es-GT"/>
        </w:rPr>
        <w:t>34</w:t>
      </w:r>
      <w:r w:rsidR="00181BD5">
        <w:rPr>
          <w:rFonts w:ascii="Arial" w:eastAsia="Calibri" w:hAnsi="Arial" w:cs="Arial"/>
          <w:color w:val="000000"/>
          <w:szCs w:val="24"/>
          <w:lang w:val="es-GT"/>
        </w:rPr>
        <w:t xml:space="preserve"> en la prueba mencionada.</w:t>
      </w:r>
    </w:p>
    <w:p w:rsidR="0090498E" w:rsidRDefault="00147707" w:rsidP="007C5EE0">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Esto se puede evidenciar en el discurso de la paciente, que menciona que bajo situaciones de carácter social tiende a padecer de síntomas físicos y cognitivos que al ser contrastados con los de la ansiedad reflejan la clara manifestación de la misma. Entre estos síntomas, se puede mencionar el temor a que ocurra lo peor (pensando de forma catastrófica en cuanto a lo que la gente pensara de ella o que puedan percibirla como “rara”), agitación motora (aceleramiento del ritmo cardiaco por pensamientos anticipativos, así como sudoración y tocarse el cabello para calmar su nerviosismo) y evitación de aquellos desencadenantes de su ansiedad (la interacción con otras personas de su familia y del ámbito escolar). </w:t>
      </w:r>
    </w:p>
    <w:p w:rsidR="00737799" w:rsidRDefault="008D6A94" w:rsidP="0090498E">
      <w:pPr>
        <w:spacing w:before="120" w:after="120" w:line="360" w:lineRule="auto"/>
        <w:jc w:val="both"/>
        <w:rPr>
          <w:rFonts w:ascii="Arial" w:eastAsia="Calibri" w:hAnsi="Arial" w:cs="Arial"/>
          <w:color w:val="000000"/>
          <w:szCs w:val="24"/>
          <w:lang w:val="es-GT"/>
        </w:rPr>
      </w:pPr>
      <w:r>
        <w:rPr>
          <w:rFonts w:ascii="Arial" w:eastAsia="Calibri" w:hAnsi="Arial" w:cs="Arial"/>
          <w:color w:val="000000"/>
          <w:szCs w:val="24"/>
          <w:lang w:val="es-GT"/>
        </w:rPr>
        <w:t xml:space="preserve">En conclusión, de acuerdo a la prueba aplicada y a la observación clínica, la paciente posee </w:t>
      </w:r>
      <w:r w:rsidR="0090498E">
        <w:rPr>
          <w:rFonts w:ascii="Arial" w:eastAsia="Calibri" w:hAnsi="Arial" w:cs="Arial"/>
          <w:color w:val="000000"/>
          <w:szCs w:val="24"/>
          <w:lang w:val="es-GT"/>
        </w:rPr>
        <w:t>ansiedad</w:t>
      </w:r>
      <w:r>
        <w:rPr>
          <w:rFonts w:ascii="Arial" w:eastAsia="Calibri" w:hAnsi="Arial" w:cs="Arial"/>
          <w:color w:val="000000"/>
          <w:szCs w:val="24"/>
          <w:lang w:val="es-GT"/>
        </w:rPr>
        <w:t xml:space="preserve"> y los rasgos </w:t>
      </w:r>
      <w:r w:rsidR="0090498E">
        <w:rPr>
          <w:rFonts w:ascii="Arial" w:eastAsia="Calibri" w:hAnsi="Arial" w:cs="Arial"/>
          <w:color w:val="000000"/>
          <w:szCs w:val="24"/>
          <w:lang w:val="es-GT"/>
        </w:rPr>
        <w:t>ansiosos</w:t>
      </w:r>
      <w:r>
        <w:rPr>
          <w:rFonts w:ascii="Arial" w:eastAsia="Calibri" w:hAnsi="Arial" w:cs="Arial"/>
          <w:color w:val="000000"/>
          <w:szCs w:val="24"/>
          <w:lang w:val="es-GT"/>
        </w:rPr>
        <w:t xml:space="preserve"> son </w:t>
      </w:r>
      <w:r w:rsidR="00147707">
        <w:rPr>
          <w:rFonts w:ascii="Arial" w:eastAsia="Calibri" w:hAnsi="Arial" w:cs="Arial"/>
          <w:color w:val="000000"/>
          <w:szCs w:val="24"/>
          <w:lang w:val="es-GT"/>
        </w:rPr>
        <w:t xml:space="preserve">moderados. Si bien se justifican por la historia clínica de la paciente (en la que sus habilidades sociales se vieron afectadas debido al constante cambio de contexto de esta naturaleza). No obstante, no se concluye en un diagnóstico de un trastorno de ansiedad </w:t>
      </w:r>
      <w:r w:rsidR="00EA3EA6">
        <w:rPr>
          <w:rFonts w:ascii="Arial" w:eastAsia="Calibri" w:hAnsi="Arial" w:cs="Arial"/>
          <w:color w:val="000000"/>
          <w:szCs w:val="24"/>
          <w:lang w:val="es-GT"/>
        </w:rPr>
        <w:t>dependiendo exclusivamente de la prueba en cuestión.</w:t>
      </w:r>
    </w:p>
    <w:p w:rsidR="006635E9" w:rsidRDefault="006635E9" w:rsidP="0090498E">
      <w:pPr>
        <w:spacing w:before="120" w:after="120" w:line="360" w:lineRule="auto"/>
        <w:jc w:val="both"/>
        <w:rPr>
          <w:rFonts w:ascii="Arial" w:eastAsia="Calibri" w:hAnsi="Arial" w:cs="Arial"/>
          <w:color w:val="000000"/>
          <w:szCs w:val="24"/>
          <w:lang w:val="es-GT"/>
        </w:rPr>
      </w:pPr>
      <w:r>
        <w:rPr>
          <w:rFonts w:ascii="Arial" w:eastAsia="Calibri" w:hAnsi="Arial" w:cs="Arial"/>
          <w:noProof/>
          <w:color w:val="000000"/>
          <w:szCs w:val="24"/>
          <w:lang w:val="en-US"/>
        </w:rPr>
        <w:lastRenderedPageBreak/>
        <w:drawing>
          <wp:inline distT="0" distB="0" distL="0" distR="0">
            <wp:extent cx="5943600" cy="79248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rfil BAI.jpg"/>
                    <pic:cNvPicPr/>
                  </pic:nvPicPr>
                  <pic:blipFill>
                    <a:blip r:embed="rId6">
                      <a:extLst>
                        <a:ext uri="{28A0092B-C50C-407E-A947-70E740481C1C}">
                          <a14:useLocalDpi xmlns:a14="http://schemas.microsoft.com/office/drawing/2010/main" val="0"/>
                        </a:ext>
                      </a:extLst>
                    </a:blip>
                    <a:stretch>
                      <a:fillRect/>
                    </a:stretch>
                  </pic:blipFill>
                  <pic:spPr>
                    <a:xfrm>
                      <a:off x="0" y="0"/>
                      <a:ext cx="5943600" cy="7924800"/>
                    </a:xfrm>
                    <a:prstGeom prst="rect">
                      <a:avLst/>
                    </a:prstGeom>
                  </pic:spPr>
                </pic:pic>
              </a:graphicData>
            </a:graphic>
          </wp:inline>
        </w:drawing>
      </w:r>
    </w:p>
    <w:p w:rsidR="00C1707D" w:rsidRDefault="00C1707D" w:rsidP="00C1707D"/>
    <w:p w:rsidR="00C1707D" w:rsidRPr="0090498E" w:rsidRDefault="00C1707D" w:rsidP="0090498E">
      <w:pPr>
        <w:spacing w:before="120" w:after="120" w:line="360" w:lineRule="auto"/>
        <w:jc w:val="both"/>
        <w:rPr>
          <w:rFonts w:ascii="Arial" w:eastAsia="Calibri" w:hAnsi="Arial" w:cs="Arial"/>
          <w:color w:val="000000"/>
          <w:szCs w:val="24"/>
          <w:lang w:val="es-GT"/>
        </w:rPr>
      </w:pPr>
    </w:p>
    <w:sectPr w:rsidR="00C1707D" w:rsidRPr="00904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77A8"/>
    <w:multiLevelType w:val="multilevel"/>
    <w:tmpl w:val="3EFCB46C"/>
    <w:lvl w:ilvl="0">
      <w:start w:val="1"/>
      <w:numFmt w:val="decimal"/>
      <w:lvlText w:val="%1."/>
      <w:lvlJc w:val="left"/>
      <w:pPr>
        <w:ind w:left="450" w:hanging="450"/>
      </w:pPr>
      <w:rPr>
        <w:rFonts w:hint="default"/>
      </w:rPr>
    </w:lvl>
    <w:lvl w:ilvl="1">
      <w:start w:val="1"/>
      <w:numFmt w:val="decimal"/>
      <w:lvlText w:val="%1.%2."/>
      <w:lvlJc w:val="left"/>
      <w:pPr>
        <w:ind w:left="1080" w:hanging="720"/>
      </w:pPr>
      <w:rPr>
        <w:rFonts w:ascii="Arial" w:hAnsi="Arial" w:cs="Arial" w:hint="default"/>
        <w:b w:val="0"/>
        <w:color w:val="000000" w:themeColor="text1"/>
        <w:sz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2D7C1F99"/>
    <w:multiLevelType w:val="hybridMultilevel"/>
    <w:tmpl w:val="DE922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050A9E"/>
    <w:multiLevelType w:val="hybridMultilevel"/>
    <w:tmpl w:val="FA0C25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598D3B7C"/>
    <w:multiLevelType w:val="hybridMultilevel"/>
    <w:tmpl w:val="A768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603499"/>
    <w:multiLevelType w:val="hybridMultilevel"/>
    <w:tmpl w:val="CA6038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E0A"/>
    <w:rsid w:val="00037A29"/>
    <w:rsid w:val="00052EFE"/>
    <w:rsid w:val="000C5E0A"/>
    <w:rsid w:val="000F2179"/>
    <w:rsid w:val="00147707"/>
    <w:rsid w:val="00147B68"/>
    <w:rsid w:val="001700C3"/>
    <w:rsid w:val="00181BD5"/>
    <w:rsid w:val="001A14C1"/>
    <w:rsid w:val="001B574D"/>
    <w:rsid w:val="002A45D5"/>
    <w:rsid w:val="003714D8"/>
    <w:rsid w:val="00512C97"/>
    <w:rsid w:val="005E57A6"/>
    <w:rsid w:val="006635E9"/>
    <w:rsid w:val="0069421B"/>
    <w:rsid w:val="006C3AF8"/>
    <w:rsid w:val="00733FE8"/>
    <w:rsid w:val="00737799"/>
    <w:rsid w:val="007C5EE0"/>
    <w:rsid w:val="008208D4"/>
    <w:rsid w:val="00862E88"/>
    <w:rsid w:val="008D6A94"/>
    <w:rsid w:val="0090498E"/>
    <w:rsid w:val="00933F43"/>
    <w:rsid w:val="0097744A"/>
    <w:rsid w:val="00C1707D"/>
    <w:rsid w:val="00C758C9"/>
    <w:rsid w:val="00C76187"/>
    <w:rsid w:val="00CC0BA4"/>
    <w:rsid w:val="00E0372E"/>
    <w:rsid w:val="00EA3EA6"/>
    <w:rsid w:val="00F7370D"/>
    <w:rsid w:val="00F9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630CB"/>
  <w15:chartTrackingRefBased/>
  <w15:docId w15:val="{34131DE8-E874-48DC-B56A-FAFCAA0D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C5E0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700C3"/>
    <w:pPr>
      <w:ind w:left="720"/>
      <w:contextualSpacing/>
    </w:pPr>
  </w:style>
  <w:style w:type="character" w:styleId="nfasis">
    <w:name w:val="Emphasis"/>
    <w:basedOn w:val="Fuentedeprrafopredeter"/>
    <w:uiPriority w:val="20"/>
    <w:qFormat/>
    <w:rsid w:val="007C5EE0"/>
    <w:rPr>
      <w:i/>
      <w:iCs/>
    </w:rPr>
  </w:style>
  <w:style w:type="paragraph" w:customStyle="1" w:styleId="FENC">
    <w:name w:val="FENC"/>
    <w:basedOn w:val="Normal"/>
    <w:link w:val="FENCCar"/>
    <w:qFormat/>
    <w:rsid w:val="007C5EE0"/>
    <w:pPr>
      <w:spacing w:before="120" w:after="120" w:line="360" w:lineRule="auto"/>
      <w:jc w:val="both"/>
    </w:pPr>
    <w:rPr>
      <w:rFonts w:ascii="Arial" w:hAnsi="Arial"/>
      <w:lang w:val="es-GT"/>
    </w:rPr>
  </w:style>
  <w:style w:type="character" w:customStyle="1" w:styleId="FENCCar">
    <w:name w:val="FENC Car"/>
    <w:basedOn w:val="Fuentedeprrafopredeter"/>
    <w:link w:val="FENC"/>
    <w:rsid w:val="007C5EE0"/>
    <w:rPr>
      <w:rFonts w:ascii="Arial" w:hAnsi="Arial"/>
      <w:lang w:val="es-GT"/>
    </w:rPr>
  </w:style>
  <w:style w:type="table" w:customStyle="1" w:styleId="Tablaconcuadrcula1">
    <w:name w:val="Tabla con cuadrícula1"/>
    <w:basedOn w:val="Tablanormal"/>
    <w:next w:val="Tablaconcuadrcula"/>
    <w:uiPriority w:val="39"/>
    <w:rsid w:val="007C5EE0"/>
    <w:pPr>
      <w:spacing w:after="0" w:line="240" w:lineRule="auto"/>
    </w:pPr>
    <w:rPr>
      <w:lang w:val="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Ban15</b:Tag>
    <b:SourceType>InternetSite</b:SourceType>
    <b:Guid>{B25D3A2B-861F-4A79-A57F-05FD3A0B90A0}</b:Guid>
    <b:Title>Ficha Técnica de BAI</b:Title>
    <b:Year>2015</b:Year>
    <b:Author>
      <b:Author>
        <b:Corporate>Banco de Instrumentos y Metodologías en Salud Mental de España</b:Corporate>
      </b:Author>
    </b:Author>
    <b:InternetSiteTitle>CIBERSAM</b:InternetSiteTitle>
    <b:URL>ttps://bi.cibersam.es/busqueda-de-instrumentos/ficha?Id=104</b:URL>
    <b:RefOrder>1</b:RefOrder>
  </b:Source>
</b:Sources>
</file>

<file path=customXml/itemProps1.xml><?xml version="1.0" encoding="utf-8"?>
<ds:datastoreItem xmlns:ds="http://schemas.openxmlformats.org/officeDocument/2006/customXml" ds:itemID="{50B2B626-124F-49D6-8F23-C0E6195C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313</Words>
  <Characters>1788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Bollat Spillari</dc:creator>
  <cp:keywords/>
  <dc:description/>
  <cp:lastModifiedBy>David Bollat Spillari</cp:lastModifiedBy>
  <cp:revision>8</cp:revision>
  <dcterms:created xsi:type="dcterms:W3CDTF">2021-08-14T18:32:00Z</dcterms:created>
  <dcterms:modified xsi:type="dcterms:W3CDTF">2021-08-21T21:50:00Z</dcterms:modified>
</cp:coreProperties>
</file>