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3</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3</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9 de febrero</w:t>
      </w:r>
      <w:r w:rsidDel="00000000" w:rsidR="00000000" w:rsidRPr="00000000">
        <w:rPr>
          <w:rFonts w:ascii="Arial" w:cs="Arial" w:eastAsia="Arial" w:hAnsi="Arial"/>
          <w:color w:val="000000"/>
          <w:rtl w:val="0"/>
        </w:rPr>
        <w:t xml:space="preserve"> de 2021. 15:00-16:00</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continuará la aplicación de pruebas proyectivas:  TAT. Asimismo, conocer más al paciente a través de una serie de pruebas en ellas: CET-DE. Cuestionario Estructural Tetradimensional para la Depresión. así como también se aplicará la escala de ansiedad de Hamilton. </w:t>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highlight w:val="white"/>
              </w:rPr>
            </w:pPr>
            <w:r w:rsidDel="00000000" w:rsidR="00000000" w:rsidRPr="00000000">
              <w:rPr>
                <w:rFonts w:ascii="Arial" w:cs="Arial" w:eastAsia="Arial" w:hAnsi="Arial"/>
                <w:rtl w:val="0"/>
              </w:rPr>
              <w:t xml:space="preserve">Por medio de las pruebas psicométricas se darán a conocer áreas como: </w:t>
            </w:r>
            <w:r w:rsidDel="00000000" w:rsidR="00000000" w:rsidRPr="00000000">
              <w:rPr>
                <w:rFonts w:ascii="Arial" w:cs="Arial" w:eastAsia="Arial" w:hAnsi="Arial"/>
                <w:highlight w:val="white"/>
                <w:rtl w:val="0"/>
              </w:rPr>
              <w:t xml:space="preserve">el Humor depresivo, la Anergia o Vaciamiento energético, la Discomunicación o Falta de sociabilidad y la Ritmopatía o Distorsión de los Ritmos biopsíquicos, particularmente los Ritmos circadianos. Asimismo, se evaluarán los niveles de ansiedad del paciente. </w:t>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Recapitulación: "síntesis de comunicaciones más amplias, busca recortar los elementos significativos del relato. su objetivo es la estimulación de la capacidad sintética del paciente así como de relevar los elementos significativos de un tema determinado" (Rodriguez, 2021).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Fonts w:ascii="Arial" w:cs="Arial" w:eastAsia="Arial" w:hAnsi="Arial"/>
                <w:rtl w:val="0"/>
              </w:rPr>
              <w:t xml:space="preserve">reformulación de contenido: "intervención inmediata, repitiendo o reformulando con pequeñas modificaciones, lo expresado por el paciente. mejora el entendimiento, y comprensión mediante la percepción propia de la experiencia.  favorece el vínculo porque demuestra atención por parte del terapeuta" (Rodriguez, 2021).  </w:t>
            </w:r>
            <w:r w:rsidDel="00000000" w:rsidR="00000000" w:rsidRPr="00000000">
              <w:rPr>
                <w:rtl w:val="0"/>
              </w:rPr>
            </w:r>
          </w:p>
        </w:tc>
      </w:tr>
    </w:tbl>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w:t>
      </w:r>
      <w:r w:rsidDel="00000000" w:rsidR="00000000" w:rsidRPr="00000000">
        <w:rPr>
          <w:rFonts w:ascii="Arial" w:cs="Arial" w:eastAsia="Arial" w:hAnsi="Arial"/>
          <w:color w:val="000000"/>
          <w:u w:val="single"/>
          <w:rtl w:val="0"/>
        </w:rPr>
        <w:t xml:space="preserve">_ X</w:t>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rtl w:val="0"/>
        </w:rPr>
        <w:t xml:space="preserve"> Debido a que la planificación se cumplió debido a que se inició con la prueba proyectiva TAT. Así como, la prueba psicométrica, escala de ansiedad de Hamilton. No obstante, no se logró finalizar la prueba CET-DE.   </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rtl w:val="0"/>
        </w:rPr>
        <w:t xml:space="preserve">Debido a que se cumplio con la planificación, así como se logró conocer de una forma más profunda al paciente a través de la pruebas. </w:t>
      </w: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El paciente comentó sobre la sintomatología somática dentro de la escala de ansiedad de Hamilton, aludiendo “últimamente me ha dolido mucho el estomago, la espalda y el cuello”, lo cual se podría deducir como sintomatología psicosomática. Asimismo, relata “también he tenido mucho estreñimiento”, lo anterior se podría tomar como mecanismo de defensa.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i w:val="0"/>
          <w:smallCaps w:val="0"/>
          <w:strike w:val="0"/>
          <w:sz w:val="22"/>
          <w:szCs w:val="22"/>
          <w:u w:val="none"/>
          <w:shd w:fill="auto" w:val="clear"/>
          <w:vertAlign w:val="baseline"/>
        </w:rPr>
      </w:pPr>
      <w:r w:rsidDel="00000000" w:rsidR="00000000" w:rsidRPr="00000000">
        <w:rPr>
          <w:rFonts w:ascii="Arial" w:cs="Arial" w:eastAsia="Arial" w:hAnsi="Arial"/>
          <w:rtl w:val="0"/>
        </w:rPr>
        <w:t xml:space="preserve">El paciente PG, vestía camisa blanca y gorra verde con amarillo, denotando higiene corporal. De la misma manera, se pudo observar inquietud en sus manos mientras comentaba su relación amorosa, la cual finalizó un año y seis meses aproximadamente, tronando su nudillos de forma constante mientras comentaba la misma.  Debido a lo anterior, se pudo observar que se encontraba ubicado en tiempo y espacio así como tenía consciencia de sí mismo, comentar lo sucedido en el orden de los hechos.</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b w:val="0"/>
          <w:color w:val="000000"/>
          <w:rtl w:val="0"/>
        </w:rPr>
        <w:t xml:space="preserve">El aprendizaje que obtuve fue observar </w:t>
      </w:r>
      <w:r w:rsidDel="00000000" w:rsidR="00000000" w:rsidRPr="00000000">
        <w:rPr>
          <w:rFonts w:ascii="Arial" w:cs="Arial" w:eastAsia="Arial" w:hAnsi="Arial"/>
          <w:rtl w:val="0"/>
        </w:rPr>
        <w:t xml:space="preserve">cómo el cuerpo puede expresar malestar dentro del paciente. asimismo, como conductas digestivas como el estreñimiento nos pueden mostrar mecanismos de defensas de los pacientes. </w:t>
      </w:r>
      <w:r w:rsidDel="00000000" w:rsidR="00000000" w:rsidRPr="00000000">
        <w:rPr>
          <w:rFonts w:ascii="Arial" w:cs="Arial" w:eastAsia="Arial" w:hAnsi="Arial"/>
          <w:color w:val="000000"/>
          <w:rtl w:val="0"/>
        </w:rPr>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-680080</wp:posOffset>
          </wp:positionH>
          <wp:positionV relativeFrom="paragraph">
            <wp:posOffset>-325750</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JwoioYiUTtE2ZMbBzkyyygyWFA==">AMUW2mUGvYzFa/G60vf1q7c5YX8a6PzsisFcEVt/V4eICqmvhtof4o0N9ilqPf3g2qvXPsn1XctcbVwSuvQYZiwzoJgevPJbx82x0tU8qklpnpN0lgkobseulOMP1pLvkRXC9dmLOOFl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