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065"/>
        <w:gridCol w:w="2880"/>
        <w:gridCol w:w="1710"/>
        <w:gridCol w:w="2456"/>
      </w:tblGrid>
      <w:tr w:rsidR="004B0608" w:rsidRPr="004B0608" w14:paraId="6235391A" w14:textId="77777777" w:rsidTr="0004651F">
        <w:tc>
          <w:tcPr>
            <w:tcW w:w="9111" w:type="dxa"/>
            <w:gridSpan w:val="4"/>
            <w:shd w:val="clear" w:color="auto" w:fill="943634" w:themeFill="accent2" w:themeFillShade="BF"/>
            <w:vAlign w:val="center"/>
          </w:tcPr>
          <w:p w14:paraId="21840EB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52D2D9E7" w14:textId="77777777" w:rsidTr="00B2499E">
        <w:tc>
          <w:tcPr>
            <w:tcW w:w="2065" w:type="dxa"/>
            <w:shd w:val="clear" w:color="auto" w:fill="C0504D" w:themeFill="accent2"/>
            <w:vAlign w:val="center"/>
          </w:tcPr>
          <w:p w14:paraId="2EDC843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7046" w:type="dxa"/>
            <w:gridSpan w:val="3"/>
          </w:tcPr>
          <w:p w14:paraId="5CCA2AA5" w14:textId="77777777" w:rsidR="004B0608" w:rsidRDefault="003B7A52" w:rsidP="00EB69F0">
            <w:pPr>
              <w:pStyle w:val="EstiloPS"/>
              <w:jc w:val="both"/>
            </w:pPr>
            <w:r>
              <w:t>David Bollat Spillari</w:t>
            </w:r>
          </w:p>
        </w:tc>
      </w:tr>
      <w:tr w:rsidR="004B0608" w14:paraId="748CE3A8" w14:textId="77777777" w:rsidTr="00B2499E">
        <w:trPr>
          <w:trHeight w:val="732"/>
        </w:trPr>
        <w:tc>
          <w:tcPr>
            <w:tcW w:w="2065" w:type="dxa"/>
            <w:shd w:val="clear" w:color="auto" w:fill="C0504D" w:themeFill="accent2"/>
            <w:vAlign w:val="center"/>
          </w:tcPr>
          <w:p w14:paraId="7DFE4436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7046" w:type="dxa"/>
            <w:gridSpan w:val="3"/>
          </w:tcPr>
          <w:p w14:paraId="1E8BCEE5" w14:textId="4D03D774" w:rsidR="004B0608" w:rsidRDefault="009578DF" w:rsidP="00EB69F0">
            <w:pPr>
              <w:pStyle w:val="EstiloPS"/>
              <w:jc w:val="both"/>
            </w:pPr>
            <w:r>
              <w:t>M.R.B.</w:t>
            </w:r>
          </w:p>
        </w:tc>
      </w:tr>
      <w:tr w:rsidR="004B0608" w14:paraId="3619F691" w14:textId="77777777" w:rsidTr="00B2499E">
        <w:tc>
          <w:tcPr>
            <w:tcW w:w="2065" w:type="dxa"/>
            <w:shd w:val="clear" w:color="auto" w:fill="C0504D" w:themeFill="accent2"/>
            <w:vAlign w:val="center"/>
          </w:tcPr>
          <w:p w14:paraId="5C069446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880" w:type="dxa"/>
          </w:tcPr>
          <w:p w14:paraId="03731F2B" w14:textId="7928B09D" w:rsidR="004B0608" w:rsidRDefault="00B865DB" w:rsidP="00B865DB">
            <w:pPr>
              <w:pStyle w:val="EstiloPS"/>
              <w:jc w:val="both"/>
            </w:pPr>
            <w:r>
              <w:t>29</w:t>
            </w:r>
            <w:r w:rsidR="00614BF5">
              <w:t xml:space="preserve"> </w:t>
            </w:r>
            <w:r w:rsidR="003B7A52">
              <w:t xml:space="preserve">de </w:t>
            </w:r>
            <w:r>
              <w:t>julio</w:t>
            </w:r>
            <w:r w:rsidR="003B7A52">
              <w:t xml:space="preserve"> del </w:t>
            </w:r>
            <w:r w:rsidR="002949F7">
              <w:t>2021</w:t>
            </w:r>
          </w:p>
        </w:tc>
        <w:tc>
          <w:tcPr>
            <w:tcW w:w="1710" w:type="dxa"/>
            <w:shd w:val="clear" w:color="auto" w:fill="C0504D" w:themeFill="accent2"/>
            <w:vAlign w:val="center"/>
          </w:tcPr>
          <w:p w14:paraId="727F710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2456" w:type="dxa"/>
          </w:tcPr>
          <w:p w14:paraId="1E1F695E" w14:textId="3141E325" w:rsidR="004B0608" w:rsidRDefault="00B865DB" w:rsidP="00EB69F0">
            <w:pPr>
              <w:pStyle w:val="EstiloPS"/>
              <w:jc w:val="both"/>
            </w:pPr>
            <w:r>
              <w:t>1</w:t>
            </w:r>
          </w:p>
        </w:tc>
      </w:tr>
      <w:tr w:rsidR="004B0608" w14:paraId="32951A38" w14:textId="77777777" w:rsidTr="00B2499E">
        <w:tc>
          <w:tcPr>
            <w:tcW w:w="2065" w:type="dxa"/>
            <w:shd w:val="clear" w:color="auto" w:fill="C0504D" w:themeFill="accent2"/>
            <w:vAlign w:val="center"/>
          </w:tcPr>
          <w:p w14:paraId="1D14F41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7046" w:type="dxa"/>
            <w:gridSpan w:val="3"/>
            <w:vAlign w:val="center"/>
          </w:tcPr>
          <w:p w14:paraId="47E4E0E9" w14:textId="7A30E1E4" w:rsidR="004B0608" w:rsidRDefault="00DA2300" w:rsidP="006941D5">
            <w:pPr>
              <w:pStyle w:val="EstiloPS"/>
              <w:jc w:val="both"/>
            </w:pPr>
            <w:r w:rsidRPr="00DA2300">
              <w:rPr>
                <w:rFonts w:eastAsia="Arial" w:cs="Arial"/>
              </w:rPr>
              <w:t xml:space="preserve">Reducir los rasgos de trastorno de ansiedad generalizada en una mujer de </w:t>
            </w:r>
            <w:r w:rsidR="006941D5">
              <w:rPr>
                <w:rFonts w:eastAsia="Arial" w:cs="Arial"/>
              </w:rPr>
              <w:t>60</w:t>
            </w:r>
            <w:bookmarkStart w:id="0" w:name="_GoBack"/>
            <w:bookmarkEnd w:id="0"/>
            <w:r w:rsidRPr="00DA2300">
              <w:rPr>
                <w:rFonts w:eastAsia="Arial" w:cs="Arial"/>
              </w:rPr>
              <w:t xml:space="preserve"> años de edad</w:t>
            </w:r>
          </w:p>
        </w:tc>
      </w:tr>
      <w:tr w:rsidR="004B0608" w14:paraId="49B31336" w14:textId="77777777" w:rsidTr="0004651F">
        <w:tc>
          <w:tcPr>
            <w:tcW w:w="9111" w:type="dxa"/>
            <w:gridSpan w:val="4"/>
            <w:shd w:val="clear" w:color="auto" w:fill="943634" w:themeFill="accent2" w:themeFillShade="BF"/>
          </w:tcPr>
          <w:p w14:paraId="1D1BAC70" w14:textId="77777777" w:rsidR="004B0608" w:rsidRDefault="004B0608" w:rsidP="004B0608">
            <w:pPr>
              <w:pStyle w:val="EstiloPS"/>
            </w:pPr>
          </w:p>
        </w:tc>
      </w:tr>
      <w:tr w:rsidR="00523AAA" w14:paraId="41C7FDC5" w14:textId="77777777" w:rsidTr="00FD710F">
        <w:tc>
          <w:tcPr>
            <w:tcW w:w="2065" w:type="dxa"/>
            <w:shd w:val="clear" w:color="auto" w:fill="C0504D" w:themeFill="accent2"/>
            <w:vAlign w:val="center"/>
          </w:tcPr>
          <w:p w14:paraId="75F4E63D" w14:textId="77777777" w:rsidR="00523AAA" w:rsidRPr="004B0608" w:rsidRDefault="00523AAA" w:rsidP="00523AAA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7046" w:type="dxa"/>
            <w:gridSpan w:val="3"/>
          </w:tcPr>
          <w:p w14:paraId="4F31BA61" w14:textId="2EB40B7E" w:rsidR="00523AAA" w:rsidRPr="00523AAA" w:rsidRDefault="00523AAA" w:rsidP="00B865DB">
            <w:pPr>
              <w:spacing w:after="100"/>
              <w:jc w:val="both"/>
              <w:rPr>
                <w:rFonts w:ascii="Arial" w:eastAsia="Calibri" w:hAnsi="Arial" w:cs="Arial"/>
                <w:color w:val="000000" w:themeColor="text1"/>
                <w:szCs w:val="20"/>
                <w:lang w:eastAsia="es-GT"/>
              </w:rPr>
            </w:pPr>
            <w:r w:rsidRPr="00523AAA">
              <w:rPr>
                <w:rFonts w:ascii="Arial" w:eastAsia="Calibri" w:hAnsi="Arial" w:cs="Arial"/>
                <w:color w:val="000000" w:themeColor="text1"/>
                <w:szCs w:val="20"/>
                <w:lang w:eastAsia="es-GT"/>
              </w:rPr>
              <w:t xml:space="preserve">Discutir </w:t>
            </w:r>
            <w:r w:rsidR="00B865DB">
              <w:rPr>
                <w:rFonts w:ascii="Arial" w:eastAsia="Calibri" w:hAnsi="Arial" w:cs="Arial"/>
                <w:color w:val="000000" w:themeColor="text1"/>
                <w:szCs w:val="20"/>
                <w:lang w:eastAsia="es-GT"/>
              </w:rPr>
              <w:t>con la paciente sobre cómo ha aplicado los aprendizajes obtenidos en otras intervenciones en el tiempo en el que no ha recibido terapia y volver a plantear objetivos nuevos para este nuevo proceso de atención.</w:t>
            </w:r>
          </w:p>
        </w:tc>
      </w:tr>
      <w:tr w:rsidR="004A3CB5" w14:paraId="559006D4" w14:textId="77777777" w:rsidTr="00B2499E">
        <w:tc>
          <w:tcPr>
            <w:tcW w:w="2065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05F42F0" w14:textId="77777777" w:rsidR="004A3CB5" w:rsidRPr="004B0608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7046" w:type="dxa"/>
            <w:gridSpan w:val="3"/>
            <w:vAlign w:val="center"/>
          </w:tcPr>
          <w:p w14:paraId="449CFC83" w14:textId="37D08B8C" w:rsidR="001A04AD" w:rsidRDefault="004A3CB5" w:rsidP="00EE163B">
            <w:pPr>
              <w:pStyle w:val="EstiloPS"/>
              <w:numPr>
                <w:ilvl w:val="0"/>
                <w:numId w:val="1"/>
              </w:numPr>
              <w:jc w:val="both"/>
            </w:pPr>
            <w:r>
              <w:rPr>
                <w:color w:val="000000" w:themeColor="text1"/>
                <w:u w:val="single"/>
              </w:rPr>
              <w:t>Ansiedad:</w:t>
            </w:r>
            <w:r w:rsidR="00EE163B">
              <w:t xml:space="preserve"> recopilar los avances obtenidos en cuanto a la reducción de </w:t>
            </w:r>
            <w:r>
              <w:t xml:space="preserve">la inquietud, temores, angustias e inseguridades en la paciente que </w:t>
            </w:r>
            <w:r w:rsidR="00EE163B">
              <w:t>sucedían</w:t>
            </w:r>
            <w:r>
              <w:t xml:space="preserve"> como consecuencia de un afrontamiento negativo a la realidad.</w:t>
            </w:r>
          </w:p>
        </w:tc>
      </w:tr>
      <w:tr w:rsidR="004A3CB5" w14:paraId="3512CF21" w14:textId="77777777" w:rsidTr="0004651F">
        <w:tc>
          <w:tcPr>
            <w:tcW w:w="6655" w:type="dxa"/>
            <w:gridSpan w:val="3"/>
            <w:shd w:val="clear" w:color="auto" w:fill="943634" w:themeFill="accent2" w:themeFillShade="BF"/>
            <w:vAlign w:val="center"/>
          </w:tcPr>
          <w:p w14:paraId="1162D9AC" w14:textId="77777777" w:rsidR="004A3CB5" w:rsidRPr="004B0608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456" w:type="dxa"/>
            <w:shd w:val="clear" w:color="auto" w:fill="943634" w:themeFill="accent2" w:themeFillShade="BF"/>
            <w:vAlign w:val="center"/>
          </w:tcPr>
          <w:p w14:paraId="1845491E" w14:textId="77777777" w:rsidR="004A3CB5" w:rsidRPr="004B0608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EE163B" w14:paraId="3D36E195" w14:textId="77777777" w:rsidTr="0004651F">
        <w:tc>
          <w:tcPr>
            <w:tcW w:w="6655" w:type="dxa"/>
            <w:gridSpan w:val="3"/>
            <w:vAlign w:val="center"/>
          </w:tcPr>
          <w:p w14:paraId="1A289907" w14:textId="304D5393" w:rsidR="00EE163B" w:rsidRPr="00EE163B" w:rsidRDefault="00EE163B" w:rsidP="00EE163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/>
              <w:jc w:val="both"/>
              <w:rPr>
                <w:rFonts w:ascii="Arial" w:eastAsia="Arial" w:hAnsi="Arial" w:cs="Arial"/>
                <w:color w:val="000000"/>
                <w:szCs w:val="20"/>
                <w:lang w:eastAsia="es-GT"/>
              </w:rPr>
            </w:pPr>
            <w:r w:rsidRPr="00EE163B">
              <w:rPr>
                <w:rFonts w:ascii="Arial" w:eastAsia="Arial" w:hAnsi="Arial" w:cs="Arial"/>
                <w:b/>
                <w:color w:val="000000"/>
                <w:szCs w:val="20"/>
                <w:lang w:eastAsia="es-GT"/>
              </w:rPr>
              <w:t>Saludo y valoración del estado anímico (5 minutos):</w:t>
            </w: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Se dirigirá a la paciente en la sala virtual y se realizarán los saludos necesarios. Posteriormente, el terapeuta motivará a la misma a </w:t>
            </w:r>
            <w:r w:rsidR="00B865D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realizar un breve resumen del tiempo en el que no recibió atención psicológica </w:t>
            </w: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>como medio introductorio a la sesión presente. Adicionalmente, se analizará el estado de ánimo de la referida por medio de una breve conversación coloquial.</w:t>
            </w:r>
          </w:p>
          <w:p w14:paraId="22836967" w14:textId="57221513" w:rsidR="00EE163B" w:rsidRPr="00EE163B" w:rsidRDefault="00EE163B" w:rsidP="00EE163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/>
              <w:jc w:val="both"/>
              <w:rPr>
                <w:rFonts w:ascii="Arial" w:eastAsia="Arial" w:hAnsi="Arial" w:cs="Arial"/>
                <w:color w:val="000000"/>
                <w:szCs w:val="20"/>
                <w:lang w:eastAsia="es-GT"/>
              </w:rPr>
            </w:pPr>
            <w:r w:rsidRPr="00EE163B">
              <w:rPr>
                <w:rFonts w:ascii="Arial" w:eastAsia="Arial" w:hAnsi="Arial" w:cs="Arial"/>
                <w:b/>
                <w:color w:val="000000"/>
                <w:szCs w:val="20"/>
                <w:lang w:eastAsia="es-GT"/>
              </w:rPr>
              <w:t>Revisión de tareas, establecimiento de agenda y desarrollo general de la sesión (45 minutos):</w:t>
            </w: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Se dedicará el tiempo restante para dialogar con la paciente sobre sus observaciones sobre</w:t>
            </w:r>
            <w:r w:rsidR="00B865D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lo que</w:t>
            </w: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el proceso psicológico </w:t>
            </w:r>
            <w:r w:rsidR="00B865D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anterior afectó su tiempo fuera del espacio terapéutico. </w:t>
            </w: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Posteriormente, se realizará una lista de </w:t>
            </w:r>
            <w:r w:rsidR="00B865D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>objetivos</w:t>
            </w: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que </w:t>
            </w:r>
            <w:r w:rsidR="00B865D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podrían ser abordados en este nuevo proceso de intervención para que la paciente pueda seguir obteniendo los beneficios de la terapia. </w:t>
            </w:r>
          </w:p>
          <w:p w14:paraId="266F4F50" w14:textId="6F08EEF2" w:rsidR="00EE163B" w:rsidRPr="00EE163B" w:rsidRDefault="00EE163B" w:rsidP="00EE163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/>
              <w:jc w:val="both"/>
              <w:rPr>
                <w:rFonts w:ascii="Arial" w:eastAsia="Arial" w:hAnsi="Arial" w:cs="Arial"/>
                <w:color w:val="000000"/>
                <w:szCs w:val="20"/>
                <w:lang w:eastAsia="es-GT"/>
              </w:rPr>
            </w:pP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</w:t>
            </w:r>
            <w:r w:rsidRPr="00EE163B">
              <w:rPr>
                <w:rFonts w:ascii="Arial" w:eastAsia="Arial" w:hAnsi="Arial" w:cs="Arial"/>
                <w:b/>
                <w:color w:val="000000"/>
                <w:szCs w:val="20"/>
                <w:lang w:eastAsia="es-GT"/>
              </w:rPr>
              <w:t>Asignación de plan paralelo y breve retroalimentación (5 minutos):</w:t>
            </w: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Se marcará el final de la sesión de forma profesional a la hora estipulada y se resolverá cualquier duda que la </w:t>
            </w:r>
            <w:r w:rsidR="00B865D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paciente tenga sobre la sesión </w:t>
            </w: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o del proceso terapéutico en general. </w:t>
            </w:r>
          </w:p>
          <w:p w14:paraId="4D8E540B" w14:textId="17428110" w:rsidR="00EE163B" w:rsidRPr="00EE163B" w:rsidRDefault="00EE163B" w:rsidP="00EE163B">
            <w:pPr>
              <w:numPr>
                <w:ilvl w:val="0"/>
                <w:numId w:val="23"/>
              </w:numPr>
              <w:spacing w:after="100"/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 w:rsidRPr="00EE163B">
              <w:rPr>
                <w:rFonts w:ascii="Arial" w:eastAsia="Arial" w:hAnsi="Arial" w:cs="Arial"/>
                <w:b/>
                <w:color w:val="000000"/>
                <w:szCs w:val="20"/>
              </w:rPr>
              <w:lastRenderedPageBreak/>
              <w:t>Despedida (5 minutos):</w:t>
            </w:r>
            <w:r w:rsidRPr="00EE163B">
              <w:rPr>
                <w:rFonts w:ascii="Arial" w:eastAsia="Arial" w:hAnsi="Arial" w:cs="Arial"/>
                <w:color w:val="000000"/>
                <w:szCs w:val="20"/>
              </w:rPr>
              <w:t xml:space="preserve"> Se le animará a la paciente a volver a su última sesión y que no olvidé la puntualidad de la misma. Una vez realizado, ambos se despedirán cordialmente y se dará por acabada la sesión.</w:t>
            </w:r>
          </w:p>
        </w:tc>
        <w:tc>
          <w:tcPr>
            <w:tcW w:w="2456" w:type="dxa"/>
            <w:vAlign w:val="center"/>
          </w:tcPr>
          <w:p w14:paraId="5DF04143" w14:textId="77777777" w:rsidR="00EE163B" w:rsidRPr="00EE163B" w:rsidRDefault="00EE163B" w:rsidP="00EE163B">
            <w:pPr>
              <w:numPr>
                <w:ilvl w:val="0"/>
                <w:numId w:val="1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EE163B">
              <w:rPr>
                <w:rFonts w:ascii="Arial" w:hAnsi="Arial" w:cs="Arial"/>
                <w:szCs w:val="20"/>
              </w:rPr>
              <w:lastRenderedPageBreak/>
              <w:t>Lapicero</w:t>
            </w:r>
          </w:p>
          <w:p w14:paraId="0C1EB5DD" w14:textId="77777777" w:rsidR="00EE163B" w:rsidRDefault="00EE163B" w:rsidP="00EE163B">
            <w:pPr>
              <w:numPr>
                <w:ilvl w:val="0"/>
                <w:numId w:val="1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EE163B">
              <w:rPr>
                <w:rFonts w:ascii="Arial" w:hAnsi="Arial" w:cs="Arial"/>
                <w:szCs w:val="20"/>
              </w:rPr>
              <w:t>Hojas en blanco</w:t>
            </w:r>
          </w:p>
          <w:p w14:paraId="683B1238" w14:textId="1C67C084" w:rsidR="00EE163B" w:rsidRPr="00EE163B" w:rsidRDefault="00EE163B" w:rsidP="00B865DB">
            <w:pPr>
              <w:numPr>
                <w:ilvl w:val="0"/>
                <w:numId w:val="1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EE163B">
              <w:rPr>
                <w:rFonts w:ascii="Arial" w:hAnsi="Arial" w:cs="Arial"/>
                <w:szCs w:val="20"/>
              </w:rPr>
              <w:t xml:space="preserve">Plataforma </w:t>
            </w:r>
            <w:r w:rsidR="00B865DB">
              <w:rPr>
                <w:rFonts w:ascii="Arial" w:hAnsi="Arial" w:cs="Arial"/>
                <w:i/>
                <w:szCs w:val="20"/>
              </w:rPr>
              <w:t>Zoom</w:t>
            </w:r>
          </w:p>
        </w:tc>
      </w:tr>
      <w:tr w:rsidR="004A3CB5" w14:paraId="656F1141" w14:textId="77777777" w:rsidTr="0004651F">
        <w:tc>
          <w:tcPr>
            <w:tcW w:w="6655" w:type="dxa"/>
            <w:gridSpan w:val="3"/>
            <w:shd w:val="clear" w:color="auto" w:fill="943634" w:themeFill="accent2" w:themeFillShade="BF"/>
            <w:vAlign w:val="center"/>
          </w:tcPr>
          <w:p w14:paraId="7D78F8E7" w14:textId="77777777" w:rsidR="004A3CB5" w:rsidRPr="00993506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lastRenderedPageBreak/>
              <w:t>Plan paralelo</w:t>
            </w:r>
          </w:p>
        </w:tc>
        <w:tc>
          <w:tcPr>
            <w:tcW w:w="2456" w:type="dxa"/>
            <w:shd w:val="clear" w:color="auto" w:fill="943634" w:themeFill="accent2" w:themeFillShade="BF"/>
            <w:vAlign w:val="center"/>
          </w:tcPr>
          <w:p w14:paraId="24F1A5B7" w14:textId="77777777" w:rsidR="004A3CB5" w:rsidRPr="00993506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Materiales y recursos</w:t>
            </w:r>
          </w:p>
        </w:tc>
      </w:tr>
      <w:tr w:rsidR="00B2499E" w14:paraId="19B83946" w14:textId="77777777" w:rsidTr="0004651F">
        <w:tc>
          <w:tcPr>
            <w:tcW w:w="6655" w:type="dxa"/>
            <w:gridSpan w:val="3"/>
            <w:vAlign w:val="center"/>
          </w:tcPr>
          <w:p w14:paraId="70F5D828" w14:textId="576176A7" w:rsidR="00B2499E" w:rsidRPr="001A04AD" w:rsidRDefault="00EE163B" w:rsidP="00B865DB">
            <w:pPr>
              <w:spacing w:after="100"/>
              <w:contextualSpacing/>
              <w:jc w:val="both"/>
              <w:rPr>
                <w:rFonts w:ascii="Arial" w:eastAsia="Calibri" w:hAnsi="Arial" w:cs="Arial"/>
                <w:szCs w:val="20"/>
                <w:lang w:eastAsia="es-GT"/>
              </w:rPr>
            </w:pPr>
            <w:r w:rsidRPr="00EE163B">
              <w:rPr>
                <w:rFonts w:ascii="Arial" w:hAnsi="Arial" w:cs="Arial"/>
                <w:szCs w:val="20"/>
              </w:rPr>
              <w:t xml:space="preserve">No aplica debido que la </w:t>
            </w:r>
            <w:r w:rsidR="00B865DB">
              <w:rPr>
                <w:rFonts w:ascii="Arial" w:hAnsi="Arial" w:cs="Arial"/>
                <w:szCs w:val="20"/>
              </w:rPr>
              <w:t>sesión consistirá en replantear objetivos de la intervención.</w:t>
            </w:r>
          </w:p>
        </w:tc>
        <w:tc>
          <w:tcPr>
            <w:tcW w:w="2456" w:type="dxa"/>
            <w:vAlign w:val="center"/>
          </w:tcPr>
          <w:p w14:paraId="227265CD" w14:textId="2B3A4F35" w:rsidR="00B2499E" w:rsidRPr="00993506" w:rsidRDefault="00EE163B" w:rsidP="00EE163B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>
              <w:t>No aplica</w:t>
            </w:r>
          </w:p>
        </w:tc>
      </w:tr>
      <w:tr w:rsidR="004A3CB5" w:rsidRPr="004B0608" w14:paraId="21080957" w14:textId="77777777" w:rsidTr="0004651F">
        <w:tc>
          <w:tcPr>
            <w:tcW w:w="9111" w:type="dxa"/>
            <w:gridSpan w:val="4"/>
            <w:shd w:val="clear" w:color="auto" w:fill="943634" w:themeFill="accent2" w:themeFillShade="BF"/>
            <w:vAlign w:val="center"/>
          </w:tcPr>
          <w:p w14:paraId="4B79F710" w14:textId="77777777" w:rsidR="004A3CB5" w:rsidRPr="00993506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Área de evaluación</w:t>
            </w:r>
          </w:p>
        </w:tc>
      </w:tr>
      <w:tr w:rsidR="004A3CB5" w14:paraId="73BB4B4A" w14:textId="77777777" w:rsidTr="0004651F">
        <w:tc>
          <w:tcPr>
            <w:tcW w:w="9111" w:type="dxa"/>
            <w:gridSpan w:val="4"/>
            <w:vAlign w:val="center"/>
          </w:tcPr>
          <w:p w14:paraId="419797CC" w14:textId="77777777" w:rsidR="004A3CB5" w:rsidRPr="00993506" w:rsidRDefault="004A3CB5" w:rsidP="004A3CB5">
            <w:pPr>
              <w:pStyle w:val="EstiloPS"/>
              <w:spacing w:before="0"/>
              <w:jc w:val="both"/>
              <w:rPr>
                <w:b/>
                <w:color w:val="000000" w:themeColor="text1"/>
              </w:rPr>
            </w:pPr>
            <w:r w:rsidRPr="00993506">
              <w:rPr>
                <w:b/>
                <w:color w:val="000000" w:themeColor="text1"/>
              </w:rPr>
              <w:t xml:space="preserve">Examen del estado mental: </w:t>
            </w:r>
            <w:r w:rsidRPr="00993506">
              <w:rPr>
                <w:color w:val="000000" w:themeColor="text1"/>
              </w:rPr>
              <w:t>técnica</w:t>
            </w:r>
            <w:r w:rsidRPr="00993506">
              <w:rPr>
                <w:b/>
                <w:color w:val="000000" w:themeColor="text1"/>
              </w:rPr>
              <w:t xml:space="preserve"> </w:t>
            </w:r>
            <w:r w:rsidRPr="00993506">
              <w:rPr>
                <w:color w:val="000000" w:themeColor="text1"/>
              </w:rPr>
              <w:t>que verifica las facultades de pensamiento de una persona y determina la relación de estas con el problema planteado en clínica. Verifica los siguientes aspectos del paciente:</w:t>
            </w:r>
            <w:r w:rsidRPr="00993506">
              <w:rPr>
                <w:b/>
                <w:color w:val="000000" w:themeColor="text1"/>
              </w:rPr>
              <w:t xml:space="preserve"> </w:t>
            </w:r>
          </w:p>
          <w:p w14:paraId="6FA7448C" w14:textId="77777777" w:rsidR="004A3CB5" w:rsidRPr="00993506" w:rsidRDefault="004A3CB5" w:rsidP="004A3C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Aspecto general y conducta</w:t>
            </w:r>
          </w:p>
          <w:p w14:paraId="7EFDAE16" w14:textId="77777777" w:rsidR="004A3CB5" w:rsidRPr="00993506" w:rsidRDefault="004A3CB5" w:rsidP="004A3C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Características del lenguaje</w:t>
            </w:r>
          </w:p>
          <w:p w14:paraId="650C6C50" w14:textId="77777777" w:rsidR="004A3CB5" w:rsidRPr="00993506" w:rsidRDefault="004A3CB5" w:rsidP="004A3C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Estado de ánimo y afecto</w:t>
            </w:r>
          </w:p>
          <w:p w14:paraId="28A42FAD" w14:textId="77777777" w:rsidR="004A3CB5" w:rsidRPr="00993506" w:rsidRDefault="004A3CB5" w:rsidP="004A3C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Contenido del pensamiento</w:t>
            </w:r>
          </w:p>
          <w:p w14:paraId="3DC5C7EE" w14:textId="77777777" w:rsidR="004A3CB5" w:rsidRPr="00993506" w:rsidRDefault="004A3CB5" w:rsidP="004A3C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Funciones del sensorio</w:t>
            </w:r>
          </w:p>
          <w:p w14:paraId="1071AB0A" w14:textId="7EE3A4A6" w:rsidR="004A3CB5" w:rsidRPr="0004651F" w:rsidRDefault="004A3CB5" w:rsidP="008B0CC9">
            <w:pPr>
              <w:pStyle w:val="EstiloPS"/>
              <w:numPr>
                <w:ilvl w:val="0"/>
                <w:numId w:val="7"/>
              </w:numPr>
              <w:spacing w:before="0" w:after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Autocognición y juicio</w:t>
            </w:r>
          </w:p>
        </w:tc>
      </w:tr>
    </w:tbl>
    <w:p w14:paraId="41F213A4" w14:textId="5DBC8E42" w:rsidR="004B0608" w:rsidRDefault="004B0608" w:rsidP="008B0CC9"/>
    <w:sectPr w:rsidR="004B0608" w:rsidSect="003A054C">
      <w:headerReference w:type="default" r:id="rId8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547A89" w16cid:durableId="20D96924"/>
  <w16cid:commentId w16cid:paraId="6DEDA692" w16cid:durableId="20D968FB"/>
  <w16cid:commentId w16cid:paraId="511C0FD8" w16cid:durableId="20D9691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554A7" w14:textId="77777777" w:rsidR="00375845" w:rsidRDefault="00375845" w:rsidP="008107A8">
      <w:pPr>
        <w:spacing w:after="0" w:line="240" w:lineRule="auto"/>
      </w:pPr>
      <w:r>
        <w:separator/>
      </w:r>
    </w:p>
  </w:endnote>
  <w:endnote w:type="continuationSeparator" w:id="0">
    <w:p w14:paraId="51C87A9E" w14:textId="77777777" w:rsidR="00375845" w:rsidRDefault="00375845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3F57B" w14:textId="77777777" w:rsidR="00375845" w:rsidRDefault="00375845" w:rsidP="008107A8">
      <w:pPr>
        <w:spacing w:after="0" w:line="240" w:lineRule="auto"/>
      </w:pPr>
      <w:r>
        <w:separator/>
      </w:r>
    </w:p>
  </w:footnote>
  <w:footnote w:type="continuationSeparator" w:id="0">
    <w:p w14:paraId="19F2185C" w14:textId="77777777" w:rsidR="00375845" w:rsidRDefault="00375845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D420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F81A3A4" wp14:editId="0B6FB940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6ECB"/>
    <w:multiLevelType w:val="hybridMultilevel"/>
    <w:tmpl w:val="DC4E4696"/>
    <w:lvl w:ilvl="0" w:tplc="7C2064E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007D2"/>
    <w:multiLevelType w:val="hybridMultilevel"/>
    <w:tmpl w:val="8278D768"/>
    <w:lvl w:ilvl="0" w:tplc="9348953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293F78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590BC1"/>
    <w:multiLevelType w:val="hybridMultilevel"/>
    <w:tmpl w:val="669A867C"/>
    <w:lvl w:ilvl="0" w:tplc="CD1C43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D0E1D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8E5CB7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0A5600"/>
    <w:multiLevelType w:val="hybridMultilevel"/>
    <w:tmpl w:val="736A3E86"/>
    <w:lvl w:ilvl="0" w:tplc="7BA010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BF968AFE">
      <w:start w:val="201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D836C8"/>
    <w:multiLevelType w:val="multilevel"/>
    <w:tmpl w:val="866AEF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DE64B7"/>
    <w:multiLevelType w:val="multilevel"/>
    <w:tmpl w:val="26BC5C58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b/>
        <w:color w:val="000000" w:themeColor="text1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CF0304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8834DC"/>
    <w:multiLevelType w:val="hybridMultilevel"/>
    <w:tmpl w:val="409637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35110F"/>
    <w:multiLevelType w:val="hybridMultilevel"/>
    <w:tmpl w:val="3CCCE88A"/>
    <w:lvl w:ilvl="0" w:tplc="7C2064E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7A10B0B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CC5E3F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414EAA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B7093C"/>
    <w:multiLevelType w:val="hybridMultilevel"/>
    <w:tmpl w:val="D39A5C60"/>
    <w:lvl w:ilvl="0" w:tplc="3D52C5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B53177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A91D72"/>
    <w:multiLevelType w:val="hybridMultilevel"/>
    <w:tmpl w:val="356034FA"/>
    <w:lvl w:ilvl="0" w:tplc="BE6251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A87EC3"/>
    <w:multiLevelType w:val="hybridMultilevel"/>
    <w:tmpl w:val="89308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D0E0D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0E0CC8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626167"/>
    <w:multiLevelType w:val="multilevel"/>
    <w:tmpl w:val="E41476AE"/>
    <w:lvl w:ilvl="0">
      <w:start w:val="19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3A257CA"/>
    <w:multiLevelType w:val="multilevel"/>
    <w:tmpl w:val="54F010E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D6018D7"/>
    <w:multiLevelType w:val="multilevel"/>
    <w:tmpl w:val="640A4AAC"/>
    <w:lvl w:ilvl="0">
      <w:start w:val="3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0"/>
  </w:num>
  <w:num w:numId="5">
    <w:abstractNumId w:val="18"/>
  </w:num>
  <w:num w:numId="6">
    <w:abstractNumId w:val="12"/>
  </w:num>
  <w:num w:numId="7">
    <w:abstractNumId w:val="1"/>
  </w:num>
  <w:num w:numId="8">
    <w:abstractNumId w:val="23"/>
  </w:num>
  <w:num w:numId="9">
    <w:abstractNumId w:val="22"/>
  </w:num>
  <w:num w:numId="10">
    <w:abstractNumId w:val="7"/>
  </w:num>
  <w:num w:numId="11">
    <w:abstractNumId w:val="19"/>
  </w:num>
  <w:num w:numId="12">
    <w:abstractNumId w:val="16"/>
  </w:num>
  <w:num w:numId="13">
    <w:abstractNumId w:val="24"/>
  </w:num>
  <w:num w:numId="14">
    <w:abstractNumId w:val="2"/>
  </w:num>
  <w:num w:numId="15">
    <w:abstractNumId w:val="20"/>
  </w:num>
  <w:num w:numId="16">
    <w:abstractNumId w:val="10"/>
  </w:num>
  <w:num w:numId="17">
    <w:abstractNumId w:val="13"/>
  </w:num>
  <w:num w:numId="18">
    <w:abstractNumId w:val="9"/>
  </w:num>
  <w:num w:numId="19">
    <w:abstractNumId w:val="5"/>
  </w:num>
  <w:num w:numId="20">
    <w:abstractNumId w:val="14"/>
  </w:num>
  <w:num w:numId="21">
    <w:abstractNumId w:val="8"/>
  </w:num>
  <w:num w:numId="22">
    <w:abstractNumId w:val="6"/>
  </w:num>
  <w:num w:numId="23">
    <w:abstractNumId w:val="21"/>
  </w:num>
  <w:num w:numId="24">
    <w:abstractNumId w:val="1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608"/>
    <w:rsid w:val="00017886"/>
    <w:rsid w:val="00036B93"/>
    <w:rsid w:val="0004651F"/>
    <w:rsid w:val="00065518"/>
    <w:rsid w:val="00093873"/>
    <w:rsid w:val="000C2868"/>
    <w:rsid w:val="000D26A5"/>
    <w:rsid w:val="000D559E"/>
    <w:rsid w:val="00104C50"/>
    <w:rsid w:val="00122010"/>
    <w:rsid w:val="001406C6"/>
    <w:rsid w:val="00165212"/>
    <w:rsid w:val="00165D59"/>
    <w:rsid w:val="001A04AD"/>
    <w:rsid w:val="001A7B6C"/>
    <w:rsid w:val="001F49CE"/>
    <w:rsid w:val="00292A99"/>
    <w:rsid w:val="002949F7"/>
    <w:rsid w:val="00303405"/>
    <w:rsid w:val="00317F49"/>
    <w:rsid w:val="00344F27"/>
    <w:rsid w:val="00375845"/>
    <w:rsid w:val="0039084E"/>
    <w:rsid w:val="003959B3"/>
    <w:rsid w:val="003A054C"/>
    <w:rsid w:val="003A7A3E"/>
    <w:rsid w:val="003B7A52"/>
    <w:rsid w:val="003F4705"/>
    <w:rsid w:val="00474799"/>
    <w:rsid w:val="004A3CB5"/>
    <w:rsid w:val="004A550C"/>
    <w:rsid w:val="004B0608"/>
    <w:rsid w:val="004B1FBD"/>
    <w:rsid w:val="005011D4"/>
    <w:rsid w:val="00512197"/>
    <w:rsid w:val="00523AAA"/>
    <w:rsid w:val="00593F29"/>
    <w:rsid w:val="005B1BCF"/>
    <w:rsid w:val="005D70E1"/>
    <w:rsid w:val="00614BF5"/>
    <w:rsid w:val="00663490"/>
    <w:rsid w:val="006941D5"/>
    <w:rsid w:val="006B34EB"/>
    <w:rsid w:val="00704E03"/>
    <w:rsid w:val="007933B8"/>
    <w:rsid w:val="0079439D"/>
    <w:rsid w:val="007B2EE7"/>
    <w:rsid w:val="007B2F50"/>
    <w:rsid w:val="007F3BFD"/>
    <w:rsid w:val="008107A8"/>
    <w:rsid w:val="008274CE"/>
    <w:rsid w:val="00845321"/>
    <w:rsid w:val="008B0CC9"/>
    <w:rsid w:val="008B10E8"/>
    <w:rsid w:val="008F7422"/>
    <w:rsid w:val="009578DF"/>
    <w:rsid w:val="009862F2"/>
    <w:rsid w:val="00993506"/>
    <w:rsid w:val="009A2FBF"/>
    <w:rsid w:val="009A5D14"/>
    <w:rsid w:val="009C24FA"/>
    <w:rsid w:val="009E0FB5"/>
    <w:rsid w:val="00A41647"/>
    <w:rsid w:val="00A57199"/>
    <w:rsid w:val="00A64CDA"/>
    <w:rsid w:val="00A81806"/>
    <w:rsid w:val="00A91115"/>
    <w:rsid w:val="00A915F8"/>
    <w:rsid w:val="00B13B9F"/>
    <w:rsid w:val="00B2499E"/>
    <w:rsid w:val="00B865DB"/>
    <w:rsid w:val="00BB5AED"/>
    <w:rsid w:val="00BC5ECD"/>
    <w:rsid w:val="00C21DD7"/>
    <w:rsid w:val="00C34929"/>
    <w:rsid w:val="00C939EF"/>
    <w:rsid w:val="00CF1580"/>
    <w:rsid w:val="00CF5A38"/>
    <w:rsid w:val="00D07E7A"/>
    <w:rsid w:val="00D07E7E"/>
    <w:rsid w:val="00D21EC8"/>
    <w:rsid w:val="00D55E48"/>
    <w:rsid w:val="00D86ADF"/>
    <w:rsid w:val="00DA2300"/>
    <w:rsid w:val="00DB6ABC"/>
    <w:rsid w:val="00DB73DA"/>
    <w:rsid w:val="00DC0FEC"/>
    <w:rsid w:val="00DD4010"/>
    <w:rsid w:val="00DD6BA0"/>
    <w:rsid w:val="00E94F58"/>
    <w:rsid w:val="00EA1A4D"/>
    <w:rsid w:val="00EB1E58"/>
    <w:rsid w:val="00EB69F0"/>
    <w:rsid w:val="00EE163B"/>
    <w:rsid w:val="00EE6139"/>
    <w:rsid w:val="00EF7C1C"/>
    <w:rsid w:val="00F8615F"/>
    <w:rsid w:val="00FE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BA17D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4747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7479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747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747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7479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479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E0FB5"/>
    <w:pPr>
      <w:ind w:left="720"/>
      <w:contextualSpacing/>
    </w:pPr>
  </w:style>
  <w:style w:type="paragraph" w:styleId="Ttulo">
    <w:name w:val="Title"/>
    <w:basedOn w:val="Normal"/>
    <w:next w:val="Normal"/>
    <w:link w:val="TtuloCar"/>
    <w:rsid w:val="00EE6139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rsid w:val="00EE6139"/>
    <w:rPr>
      <w:rFonts w:ascii="Calibri" w:eastAsia="Calibri" w:hAnsi="Calibri" w:cs="Calibri"/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0465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465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47A6A-4129-4A94-8330-13266B8CD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David Bollat Spillari</cp:lastModifiedBy>
  <cp:revision>3</cp:revision>
  <cp:lastPrinted>2019-07-17T17:22:00Z</cp:lastPrinted>
  <dcterms:created xsi:type="dcterms:W3CDTF">2021-07-27T20:09:00Z</dcterms:created>
  <dcterms:modified xsi:type="dcterms:W3CDTF">2021-07-29T22:31:00Z</dcterms:modified>
</cp:coreProperties>
</file>