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Katheryne Marlene Santizo García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J.J.S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06 febrero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Observar su nivel de conocimientos por medio de la prueba informal Screening.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platicará un poco de su semana y como le está yendo en el colegio.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armará un rompecabezas en línea para poder ejercitar la concentración y la memoria.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Rompecabezas en línea (adjuntar link)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pasará la prueba informal de Screening en la cual se evaluará lectoescritura, cálculo mental, lateralidad y seguimiento de instrucciones.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 de screening.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dice, para trabajar lateralidad y conocer cuál es su lado dominante en cada parte de su cuerpo.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si tiene dudas de la sesión, cuál fue su parte favorita y cuál fue la que menos le gustó.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ponga las tablas de multiplicar hechas por él para irlo practicando durante la semana. Por lo menos una vez al día practicarlas.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Cartel u hojas de colores, marcadores.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observará cómo se desenvuelve durante la prueba como también sus habilidad y debilidades de cada tema evaluado.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*Trabajar cálculo mental en sintonización en las sesiones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W2zN25E6ahY71K7uMGCeVMnZyw==">AMUW2mVO7j0cmv4J375JZkiRxglVOfYmHzjXh+i6QveVf8f/Mv1h+FBOwzQtlbFt+xT2KKWSl2l2/UaLfNuMYmDUXwaa+vs76zApB/hmEYmk38k32eKrAOIXzge8CdvpERemeJLFKAzM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