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agosto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negativas causadas por problemas de adaptación a la modalidad virtual a causa de la condición de salubridad.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personal y familiar por medio de la aplicación de pruebas proyectivas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 área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familiar y 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aplicación de las pruebas proyectivas de figura humana y frases incompletas de Sacks para niños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de calificación de pruebas proyectivas de figura humana, prueba de frases incompletas de Sacks para niños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evalúa la capacidad de seguimiento de instrucciones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-819145</wp:posOffset>
          </wp:positionH>
          <wp:positionV relativeFrom="paragraph">
            <wp:posOffset>-297176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/bB5qHhUuC8Qsa/kH/YCz7L1/Q==">AMUW2mWnz8Klv6U9Z6VFpH7ZUm1YqVyglDnrpx59EN/7SrXB8aAQ7OhRHHWGKuZ9c04WyWfoAETZLJkPAMIUZRaXW8mwoHSsP92WzNgLgCIHXtVhcIKQMulgHnUAEj3QSXzlYQpRct73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