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Marlies Maldonado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S.Y.P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 de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la velocidad de procesamiento, la memoria de trabajo,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 visual y auditiva, memoria semántica, lectura, escritura, atención, discriminación visual y control de interferencia.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Establecimiento de rapport por medio de preguntas como; “¿qué tal te fue esta semana? ¿cómo te fue en las clases?”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Elaboración de lista de planificación, con el objetivo de que la paciente desarrolle estrategias de organización y manejo del tiempo.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Aplicación de screening. En primer lugar, se evalu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ará su memoria visual y auditiva. A continuación se evaluará su escritura.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Posteriormente, se buscará evaluar su lectura, velocidad de procesamiento y memoria semántica.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Finalmente, por medio de un STROOP virtual, se pretende evaluar su discriminación visual, control de interferencia y atención.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drive interactiva.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STROOP virtual.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Estuche completo.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Cuaderno de anotaciones.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Breve juego de rompecabezas virtual. (Jigsaw Planet).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discutirá sobre lo que se realizó durante la sesión; que aprendió, que le gustó, que no le gustó.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ejercicios matem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ticos.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medio de los resultados del screening, se obtendrá una perspectiva más amplia de las fortalezas y debilidades de la paciente. 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z9/oOdHLEofy2LiiK7heIhBgHA==">AMUW2mURYM+dd+2ZaSLo2y9VvU8F0fLzBZxCwX+Df0wgIyQNbwGtMf+J1Hy00K11eUd/lJGRBeXskp6VH3CfAXFag+O0Mx+IlMNJDZTIanYLy/Alo5kHTCw=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2021-08-02T22:05:00Z</dcterms:created>
  <dc:creator>ANA LUCIA ZELADA GUEVAR</dc:creator>
</cp:coreProperties>
</file>