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Katja Klezar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AJTO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03.02.21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Iniciar la aplicación de “screening”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al paciente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p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ara conocer las competencias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académicas alcanzadas por el mismo.</w:t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esperará a que el paciente ingrese a la sesión virtual.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Una vez ingresado, se le preguntará cómo se encuentra, qué tal ha estado su semana, qué actividades ha realizado y cómo se ha sentido recibiendo sus clases.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Durante la etapa de concentración, se le comentará al paciente cuáles son las actividades que se tienen planeadas.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Para explicarle las actividades, se hará uso de algunos dibujos y de un reloj para que el paciente pueda guiarse.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Dibujos de actividades.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Intervención 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(30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continuará la aplicación de la entrevista a pacientes.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Una vez ya terminada, se iniciará la aplicación del screening al paciente para tener una idea más clara sobre su nivel académico.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Documentos administrativos.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Relajación 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Como relajación, se trabajará una sopa de letras online.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Sopa de letras online.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preguntará al paciente qué actividad le gustó más y cuál le gustó menos.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preguntará qué actividades le gustaría realizar en sesión.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recordará fecha y hora de la próxima sesión.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despedirá amablemente.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asignará una lectura al paciente y se le pedirá hacer un glosario sobre las palabras que desconoce.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Cuento online.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Observación del rendimiento del paciente en el screening.</w:t>
            </w:r>
          </w:p>
        </w:tc>
      </w:tr>
    </w:tbl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-803909</wp:posOffset>
          </wp:positionH>
          <wp:positionV relativeFrom="paragraph">
            <wp:posOffset>-316864</wp:posOffset>
          </wp:positionV>
          <wp:extent cx="2308860" cy="857250"/>
          <wp:effectExtent b="0" l="0" r="0" t="0"/>
          <wp:wrapNone/>
          <wp:docPr descr="C:\Users\hernandez100121\Desktop\LOGOCLINICAS1.png" id="2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3A65A0"/>
    <w:pPr>
      <w:spacing w:after="120" w:before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A65A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EstiloPSCar" w:customStyle="1">
    <w:name w:val="Estilo PS Car"/>
    <w:basedOn w:val="Fuentedeprrafopredeter"/>
    <w:link w:val="EstiloPS"/>
    <w:rsid w:val="003A65A0"/>
    <w:rPr>
      <w:rFonts w:ascii="Arial" w:hAnsi="Arial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A65A0"/>
    <w:rPr>
      <w:rFonts w:ascii="Segoe UI" w:cs="Segoe UI" w:hAnsi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65C3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2MKbLVpR/AlONU7/uaVNPI6Aag==">AMUW2mXn6tFRxO8PpNvvHaN1pJ6rJ5Dwdie7NbMktDwfjQgdhnkpfgrw0ctks0jp+6NslQ1QoljFP3E1w8ij8cnKYUc2N7fo1hta9f638/6pNAKgy8mKtOE=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2021-01-25T18:20:00Z</dcterms:created>
  <dc:creator>ANA LUCIA ZELADA GUEVAR</dc:creator>
</cp:coreProperties>
</file>