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Pilar Mansilla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23/08/2021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el área de inteligencia por medio de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 Toni-2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1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bookmarkStart w:colFirst="0" w:colLast="0" w:name="_heading=h.1sx96qmb2p" w:id="1"/>
            <w:bookmarkEnd w:id="1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habilidades construccionales y  memoria (decodificación) de la Evaluación neuropsicológica infantil ENI-2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tiempo para que exponga cómo realizó el plan paralelo asignado la sesión pasada, se le preguntará sobre su semana.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ejercitará la atención sostenida, el juego que se utilizará es “¿Dónde está Waldo?”, donde  deberá encontrar el personaje en diferentes dibujos.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Dibujos del “¿Dónde está Waldo?” </w:t>
            </w:r>
          </w:p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 rojo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aplicará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TONI - 2 (15 minutos)</w:t>
            </w:r>
          </w:p>
          <w:p w:rsidR="00000000" w:rsidDel="00000000" w:rsidP="00000000" w:rsidRDefault="00000000" w:rsidRPr="00000000" w14:paraId="00000037">
            <w:pPr>
              <w:spacing w:after="200" w:line="360" w:lineRule="auto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Se iniciará a aplicar la prueba ENI - 2 (30 minutos).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Las subpruebas que se aplicarán serán: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habilidades construccionales y  memoria (decodificación)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técnicos</w:t>
            </w:r>
          </w:p>
          <w:p w:rsidR="00000000" w:rsidDel="00000000" w:rsidP="00000000" w:rsidRDefault="00000000" w:rsidRPr="00000000" w14:paraId="0000003B">
            <w:pPr>
              <w:pageBreakBefore w:val="0"/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y borrador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una partida de fútbol para poder descansar de la prueba estandarizada. Luego se le pedirá a los padres firmar la ficha de asistencia.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Pelota de fútbol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los padres de familia y el centro de educación que completen la Escala de Conners, que dará datos sobre su atención en diferentes ámbitos.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Escala de Conners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necesaria para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seguir elaborando la propuesta de evaluación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paciente. Así mismo se evaluará la atención y colaboración del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-803907</wp:posOffset>
          </wp:positionH>
          <wp:positionV relativeFrom="paragraph">
            <wp:posOffset>-316862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kn8y15x0bX5rfpHurym/lVaU3w==">AMUW2mWAy/YXcqlzss9ZxOrv+u3eI0DtNIcI+A2zX0Tg7turpJU78sYOThv7JfQ9NFmCrgmHmbSBtmylgIbsLklSWh4eY0tsAok/e/sZmIzSGebAmWxKM9KtJNj8IGJ8Y7sV0PNn/ToBVEtN3y8lWuEA4cmWsvFvlg==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