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Segundo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 Aquino</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Rios M</w:t>
      </w:r>
      <w:r w:rsidDel="00000000" w:rsidR="00000000" w:rsidRPr="00000000">
        <w:rPr>
          <w:rFonts w:ascii="Arial" w:cs="Arial" w:eastAsia="Arial" w:hAnsi="Arial"/>
          <w:rtl w:val="0"/>
        </w:rPr>
        <w:t xml:space="preserve">endoza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14</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rtl w:val="0"/>
        </w:rPr>
        <w:t xml:space="preserve">10/2021; 4:00-5:00 pm</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Fomentación de habilidades sociales, establecimiento de límites, reforzar los valores de la empatía y el respeto tanto hacia los demás como a sí mismo.</w:t>
            </w:r>
          </w:p>
          <w:p w:rsidR="00000000" w:rsidDel="00000000" w:rsidP="00000000" w:rsidRDefault="00000000" w:rsidRPr="00000000" w14:paraId="0000000F">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Reforzar el autocontrol y relajación</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Habilidades sociales positivas</w:t>
            </w:r>
          </w:p>
          <w:p w:rsidR="00000000" w:rsidDel="00000000" w:rsidP="00000000" w:rsidRDefault="00000000" w:rsidRPr="00000000" w14:paraId="0000001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Reconocimiento de límites personales y establecimiento de los mismos.</w:t>
            </w:r>
          </w:p>
          <w:p w:rsidR="00000000" w:rsidDel="00000000" w:rsidP="00000000" w:rsidRDefault="00000000" w:rsidRPr="00000000" w14:paraId="00000013">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Reforzamiento de valores de respeto y empatía</w:t>
            </w:r>
          </w:p>
          <w:p w:rsidR="00000000" w:rsidDel="00000000" w:rsidP="00000000" w:rsidRDefault="00000000" w:rsidRPr="00000000" w14:paraId="0000001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Autocontrol del miedo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6">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Autoconocimiento y narración</w:t>
            </w:r>
          </w:p>
          <w:p w:rsidR="00000000" w:rsidDel="00000000" w:rsidP="00000000" w:rsidRDefault="00000000" w:rsidRPr="00000000" w14:paraId="00000017">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Reconocimiento y establecimiento de límites</w:t>
            </w:r>
          </w:p>
          <w:p w:rsidR="00000000" w:rsidDel="00000000" w:rsidP="00000000" w:rsidRDefault="00000000" w:rsidRPr="00000000" w14:paraId="00000018">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Abordaje del miedo y autosuperación</w:t>
            </w:r>
          </w:p>
          <w:p w:rsidR="00000000" w:rsidDel="00000000" w:rsidP="00000000" w:rsidRDefault="00000000" w:rsidRPr="00000000" w14:paraId="00000019">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Recopilación de datos con apoyo de la madre</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Sí, se cumplió con todas las actividades propuestas en el plan de sesión número 10, gracias a la buena disposición del paciente para llevar a cabo y seguir las instrucciones de los ejercicios establecidos en la planificación. Las sesiones se inician de forma puntual, lo cual permite el poder cumplir con cada una de ellas, proporcionando las instrucciones de forma correcta y detallada para que el paciente pueda cumplirlas.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Realizar actividades dinámicas y con materiales creativos ha sido una posibilidad bastante agradable que se ha tenido durante este proceso de intervención, debido a que se ha tenido el apoyo de la madre al proporcionarle los distintos materiales requeridos al paciente.</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la sesión se presentó avance, la planificación realizada para la sesión número 10 se formó con el objetivo de enseñar al paciente acerca del autocuidado personal. Esto debido a que la madre ha referido preocupación, porque a veces se le dificulta que el paciente se bañe a diario. De igual manera, mencionó qué existe un alto interés por ingerir alimentos o con nutritivos, por lo cual también se decidió involucrar La actividad de elaborar una refacción saludable a base de frutas y otra a base de verduras, para mostrarle así al paciente y a la madre que pueden realizar combinaciones saludables y con un sabor agradable para el paciente.</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establecidas durante la planificación de la sesión número 10, son significativas debido a qué buscan orientar al paciente en la incorporación de hábitos de autocuidado personal, físico y emocional. El desarrollo de hábitos de autocuidado forman parte de lo que es la autoestima, por ese motivo es que fortaleciendo el autocuidado se busca que este sirva como herramienta para que el paciente pueda desarrollar herramientas con las cuales cuidar y mantener una autoestima saludable a lo largo de su vida.</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Durante la sesión se pudo observar al paciente presentando una higiene corporal como su cabello estaba peinado y utilizaba una camiseta con un pantalón de lona limpios. Demostró motivación ante el proceso, haciéndose partícipe ante la conversación y realizando todas las actividades planificadas con interés y desenvoltura.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 las actividades siguiendo las instrucciones y pide recomendaciones mientras la realiza a la terapeuta, de igual manera se observa que al terminar de realizar cada actividad busca ordenar los materiales y limpiar el espacio en el cual ha trabajado. Lo cual demuestra, que si se le proporcionan instrucciones de mantener el entorno limpio y ordenado, las sigue.</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rtl w:val="0"/>
        </w:rPr>
        <w:t xml:space="preserve">Como terapeuta, tuve la oportunidad de visualizar con mayor exactitud y de forma personal, la necesidad que tiene el enseñar hábitos de autocuidado a los pacientes. A pesar de que estos parezcan básicos como lo es la higiene personal y el mantenimiento de una alimentación balanceada, muchas veces esta no es cumplida y ambos factores tienen influencia en la salud mental de las personas que atendemos diariamente en la clínica.</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FgUAI/piV+/dJzQwxNlRir2og==">AMUW2mX9AizciZDdAis8WBX0KUlBv1DKtCdHOLbigH0GLGguBUW5tIkRKWcY+4Kiu+9GKJDOmuTUQm6oLX0mWxRDZ+a/oreZcFq33guKia0cpBHYE6z6whC9DxSq4naVyO0hTY0CSUY+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