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8</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octava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13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septiembre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Desarrollar la regulación emocional para posteriormente tener las herramientas para la expresión emocional.</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cognitiva: presentación de una técnica de pensamiento, la cual lleva por nombre pensamiento automático constructivo de Epstein que tiene como fin identificar reacciones destructivas y situaciones en las que se reacciona de manera inadecuada para hacer una reestructuración cognitiva de esto. </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Enfoque Cognitivo conductual</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tab/>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planificadas se realizaron de la manera esperada, como también se logró recolectar la información requerida acerca de cómo la paciente regula sus emociones y cómo actúa frente a estas.</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u w:val="single"/>
          <w:rtl w:val="0"/>
        </w:rPr>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realizó la enseñanza de una técnica de pensamiento para conocer cómo la paciente regula sus emociones o sino, que realiza para conseguirlo, en general como actúa ante la presencia de emociones fuertes que pueden generar un descontrol. </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información sobre cómo actúa la paciente en situaciones que tienen un componente emocional fuerte, teniendo datos sobre que se encierra en su habitación para no hablar de lo sucedido, cuando es una pelea con su madre hay ocasiones en que realiza contestaciones, lo que genera en la paciente un malestar emocional pues reconoce que este actuar no es el correcto.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También se conoció que hace un año aproximadamente cuando se presentaba una emoción fuerte como enojo, tristeza o frustración la paciente se mordía así misma, se pellizcaba o golpeaba su cabeza contra la pared, asimismo comenta que estas conductas han cesado aunque no mencionada la razón y no se tiene la certeza de que esto sea así.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2">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se considera que la atención y concentración fueron obstruidas ya que cuando la terapeuta realizaba ciertas preguntas, la paciente solamente respondía con un sí o esta bien, sin agregar algo más.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5">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6">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7">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el aprendizaje sobre cómo explicar la información pertinente para realizar la técnica de manera que la paciente pudiese comprenderla, para luego realizarla de la mejor manera. </w:t>
      </w:r>
    </w:p>
    <w:p w:rsidR="00000000" w:rsidDel="00000000" w:rsidP="00000000" w:rsidRDefault="00000000" w:rsidRPr="00000000" w14:paraId="0000002A">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-680077</wp:posOffset>
          </wp:positionH>
          <wp:positionV relativeFrom="paragraph">
            <wp:posOffset>-325747</wp:posOffset>
          </wp:positionV>
          <wp:extent cx="2261870" cy="774065"/>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1PT/qpQ9xR8Uys55pPQngsFyag==">AMUW2mX27Qa8YuzBjhxhXHM4PtFAFNkrttSB2/QzZErtffSJw1gVNkjQh8QDiig12Km9NitwFrB8RwNdiSCPhUKIke/rOkrBXtZ9qO0OK6KTRtZmt3OjZHf6JqFUkYwU4y/+PPZwBZVQyitkosGsZ+IoOkj33YRJ/NklUvLWVTdamlryjoZQqm9Oh+JfXD7rBMpin9M1OZuzFYF9PaAt2CPRHjKmqujaoA==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