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Katja Klezar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JAQC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16.02.21; 14:00 hrs. – 15:00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20.02.21 10:00 hrs. – 11:00 hrs.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Continuar la aplicación del screening para definir las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fortale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esperó al paciente en la plataforma de las sesiones virtuales con unos minutos de anticipación.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éste ingresó, 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forma entusiasta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se le preguntó cómo se encontraba y cómo estuvo su semana.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explicó al paciente cuáles eran las actividades previstas a realizar durante la sesión.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presentaron los documentos a utilizar.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resolvieron dudas.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continuó con la aplicación del screening, sin embargo no fue posible avanzar mucho porque habían problemas de conexión y el paciente salía e ingresaba repetidamente a la plataforma, se cortaba el audio y no podía escuchar bien las instrucciones.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fue posible trabajar durante el período de relajación debido a los problemas de conexión.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fue posible cumplir con esta etapa ya que el paciente se desconectó.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fue posible asignarle un plan paralelo debido a que el paciente se desconectó y ya no ingresó al portal.</w:t>
            </w:r>
          </w:p>
        </w:tc>
      </w:tr>
    </w:tbl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Estancamiento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Hubo diversos problemas de conexión, lo que no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permitió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avanzara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realizaran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las actividades planificadas.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ingresó a la plataforma virtual aproximadamente 40 minutos después de la hora esperada.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fue posible completar ninguna de las actividades planificadas.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Atención.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Seguimiento de instrucciones.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Buena, la psicopedagoga tuvo la paciencia requerida para trabajar con el paciente a pesar de las dificultades de conexión.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Finalizar la aplicación del screening.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muestra rasgos de hiperactividad ya que habla sin cesar y muestra inquietud motora.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inquietud motora del paciente puede ser un rasgo de TDAH.</w:t>
            </w:r>
          </w:p>
        </w:tc>
      </w:tr>
    </w:tbl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0C4F9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Sildq+YgoWcTvyEMMuKl6IkB6g==">AMUW2mXdaYqzSYXLKOKm4do5mjq9Xg/KYWXYDaYoYoMUQd2qiFmEuBp/u3NeSVJJVsy67oyZt07RFBngUXuIhp2eujQ8oaTVRphYA6HSt4pHRTBKCgNKLaAZA9KgpML9Fl4aV77cVAqY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2021-02-23T21:59:00Z</dcterms:created>
</cp:coreProperties>
</file>