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CAMPO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</w:t>
      </w:r>
      <w:r w:rsidDel="00000000" w:rsidR="00000000" w:rsidRPr="00000000">
        <w:rPr>
          <w:rFonts w:ascii="Arial" w:cs="Arial" w:eastAsia="Arial" w:hAnsi="Arial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Lunes 02 agosto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1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Conocer el motivo de consulta y datos del paciente en las áreas personal, familiar, profesional e interpersonal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Área personal y familiar ya que se busca hacer una introspección para poder comenzar a descubrir la problemática y su origen.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utilizó la entrevista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niños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logró conocer </w:t>
      </w:r>
      <w:r w:rsidDel="00000000" w:rsidR="00000000" w:rsidRPr="00000000">
        <w:rPr>
          <w:rFonts w:ascii="Arial" w:cs="Arial" w:eastAsia="Arial" w:hAnsi="Arial"/>
          <w:rtl w:val="0"/>
        </w:rPr>
        <w:t xml:space="preserve">al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paciente, datos biogr</w:t>
      </w:r>
      <w:r w:rsidDel="00000000" w:rsidR="00000000" w:rsidRPr="00000000">
        <w:rPr>
          <w:rFonts w:ascii="Arial" w:cs="Arial" w:eastAsia="Arial" w:hAnsi="Arial"/>
          <w:rtl w:val="0"/>
        </w:rPr>
        <w:t xml:space="preserve">áficos pertinentes para el caso,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entre ellos datos personales, interpersonales, académicos y evolutivos.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además se comenzó a crear un adecuado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rappor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rtl w:val="0"/>
        </w:rPr>
        <w:t xml:space="preserve">Se pudo también realizar el examen del estado mental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Además de que se conocieron datos relevantes para el caso, se logró establecer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Ya se puede comenzar a crear un perfil psicológico del </w:t>
      </w:r>
      <w:r w:rsidDel="00000000" w:rsidR="00000000" w:rsidRPr="00000000">
        <w:rPr>
          <w:rFonts w:ascii="Arial" w:cs="Arial" w:eastAsia="Arial" w:hAnsi="Arial"/>
          <w:rtl w:val="0"/>
        </w:rPr>
        <w:t xml:space="preserve">mismo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el paciente es un niño colaborativo y social lo que facilitará todo el proceso terapéutico.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Apariencia aseada, en control de sus movimientos, consciente de su tiempo y espacio.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Busca distraerse con cualquier objeto que tenga a la mano.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rtl w:val="0"/>
        </w:rPr>
        <w:t xml:space="preserve">A los niños se les debe de tratar con respeto y no como si fuesen inferiores. Cuando el terapeuta se pone al mismo nivel del paciente, hay un mejor desenvolvimiento de éste y por tanto mayor apertura y avance en el proceso.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-680082</wp:posOffset>
          </wp:positionH>
          <wp:positionV relativeFrom="paragraph">
            <wp:posOffset>-325752</wp:posOffset>
          </wp:positionV>
          <wp:extent cx="2261870" cy="77406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8vuWVx0Kk3XG9LfFEzNfHoEXwQ==">AMUW2mWZwvNyzzeIlx99QVZ43rebL4yvdYZoU3dcYdTnSWJ4eGZVRy6zzm1wfoUPSf8wftIdM0HbZsS4QKCnW9xzlXLc7+/IukbhUNjC6QIfuOPLt60LdIE=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