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04 octubre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 el autoconocimiento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Personal, autoconocimiento, ansiedad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Libro de psicoeducación y actividades de ansiedad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realizaron las actividades estipuladas y se fomentó el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  <w:tab/>
        <w:t xml:space="preserve">X 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 medio de la psicoeducación acerca de las preocupaciones, el paciente fue logrando entender más acerca de las propias.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Se logró recaudar información acerca de las posibles preocupaciones del paciente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Comenzó a jugar juegos en su computadora a la hora de la sesión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se debe sintonizar con el paciente y utilizar los juegos a la ventaja del terapeuta.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-680075</wp:posOffset>
          </wp:positionH>
          <wp:positionV relativeFrom="paragraph">
            <wp:posOffset>-325745</wp:posOffset>
          </wp:positionV>
          <wp:extent cx="2261870" cy="774065"/>
          <wp:effectExtent b="0" l="0" r="0" t="0"/>
          <wp:wrapNone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ZeaxxvxFem6glAZLc4A8MbAGeA==">AMUW2mUG61YGaal+/3vCqkj7O8Pin873V52VoiMbcaqz1hgXm7A5z3puRDUu7ydg1JYRo4No4NaAThTSf3i57GszVaYNAw5bFDiHzTqiZOf4fUwFyv2sYjo=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