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# 1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</w:t>
      </w:r>
      <w:r w:rsidDel="00000000" w:rsidR="00000000" w:rsidRPr="00000000">
        <w:rPr>
          <w:rFonts w:ascii="Arial" w:cs="Arial" w:eastAsia="Arial" w:hAnsi="Arial"/>
          <w:rtl w:val="0"/>
        </w:rPr>
        <w:t xml:space="preserve">Pilar Mansilla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4to año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Z.M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rtl w:val="0"/>
        </w:rPr>
        <w:t xml:space="preserve">19/01/2021 3:00 - 4:00 pm.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rtl w:val="0"/>
        </w:rPr>
        <w:t xml:space="preserve">26/01/2021 3:00 - 4:00 pm.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Recaudar información relevante sobre el paciente, mediante la entrevista a padres y anamnesis, para conocer sobre el desarrollo en diferentes ámbitos de su vida.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dio la bienvenida a los padres de familia al nuevo inicio del proceso 2021, se les dio la presentación oficial de la psicopedagoga encargada de su hijo.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explicó a los encargados del paciente los documentos administrativos que deben llenar para que se pueda llevar a cabo de manera efectiva el apoyo psicopedagógico. </w:t>
            </w:r>
          </w:p>
        </w:tc>
      </w:tr>
      <w:tr>
        <w:trPr>
          <w:trHeight w:val="220" w:hRule="atLeast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2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y Anamnesis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realizó  la anamnesis y  la entrevista a padres de familia.</w:t>
            </w:r>
          </w:p>
        </w:tc>
      </w:tr>
      <w:tr>
        <w:trPr>
          <w:trHeight w:val="220" w:hRule="atLeast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dio tiempo para preguntas que surgieron a lo largo de la entrevista y sobre el proceso que se llevará a cabo con el paciente. Así mismo se les explicó el archivo en Google Drive que se estará utilizando para las sesiones.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Se le pidió un folder para ir archivando los trabajos en el proceso psicopedagógico.</w:t>
            </w:r>
          </w:p>
        </w:tc>
      </w:tr>
    </w:tbl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cumplió al objetivo del plan, se conocieron las necesidades del paciente, se pudo establecer un rapport  con los padres de familia y se reflejó el motivo de consulta, el cual es clave para poder llevar a cabo un proceso psicopedagógico idóneo. </w:t>
            </w:r>
          </w:p>
        </w:tc>
      </w:tr>
    </w:tbl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presentaron 3 minutos antes en la sala de espera.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pudo platicar sobre aspectos relevantes tanto de la anamnesis como de la entrevista. Todo se preguntó y nada quedó pendiente.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Comunicación, Rapport, Lenguaje, Comprensión.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a padres, Anamnesis, lapicero.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valoración es satisfactoria, se pudo establecer una buena comunicación con los padres de familia teniendo una escucha activa y realizando preguntas pertinentes al caso. Se mantuvo dinamismo al momento de entrevistar a los padres, se respetaron los tiempos.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Recaudar información relevante sobre el paciente, mediante la entrevista, para conocer sobre sus fortalezas y debilidades.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Según la información brindada por el padre del paciente, se puede reflejar que el padre no tiene mucho conocimiento sobre aspectos importantes como la fecha de nacimiento de su hijo,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ya que en todos los aspectos se les preguntaba a su espos,  quien se encontraba se encontraba haciendo los deberes con los demás hijos.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motivo de consulta más claro para los padres es que Z.M pueda continuar mejorando con su proceso para que pueda leer y escribir de manera correcta.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Actualmente ya deletrea, sabe escribir y tiene buena letr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 sin embargo se le dificulta hacerlo con claridad debido a su dificultad.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parte del colegio, no están en clases por Zoom, les mandan correos con videos de YouTube,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los cuales deben ver y luego hacer sus tareas.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es una persona obediente, le gusta ayudar en casa, está dispuesto a poder mejorar y poder leer mejor.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 mayor dificultad radica en la lectura y escritura por ende las tareas son mucho más lentas de realizar. Por otro lado,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 gustan mucho los números y el arte.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debe establecer una comunicación clara con los padres de familia, que siempre estén enterados de los avances y/o retrocesos que tenga el paciente ya que es vital para un buen desarrollo de la intervención. </w:t>
            </w:r>
          </w:p>
        </w:tc>
      </w:tr>
    </w:tbl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Ef7nUi6+SDPLX90HZy9Kwdiv+A==">AMUW2mVFhd5/6NJopBo/MQcyInMDF+hfVciUpO8hi39VscpjzLcGm1QjHMf+ItummPdjTidO2nqgWXIuP82i7wgdoXQPKPcoGsakdc91BwaTSrqLekekQz8VFZY/dlUWOGMYcchjdl3090AUzVgUucV34OS4Bh1VB/EBGqHgZPJbHhGqKLRtg4Y=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2020-03-30T18:14:00Z</dcterms:created>
</cp:coreProperties>
</file>